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F4920" w14:textId="77777777" w:rsidR="00C25DC3" w:rsidRPr="00DA353D" w:rsidRDefault="00C25DC3" w:rsidP="00C25DC3">
      <w:pPr>
        <w:spacing w:after="120"/>
        <w:rPr>
          <w:rFonts w:ascii="Garamond" w:hAnsi="Garamond" w:cs="Arial"/>
          <w:bCs/>
          <w:sz w:val="24"/>
          <w:u w:val="single"/>
        </w:rPr>
      </w:pPr>
    </w:p>
    <w:bookmarkStart w:id="0" w:name="_Toc40196160"/>
    <w:bookmarkStart w:id="1" w:name="_Toc40196430"/>
    <w:bookmarkStart w:id="2" w:name="_Toc348343092"/>
    <w:bookmarkStart w:id="3" w:name="_Toc348343168"/>
    <w:bookmarkStart w:id="4" w:name="_Toc349126901"/>
    <w:bookmarkStart w:id="5" w:name="_Toc349126954"/>
    <w:bookmarkStart w:id="6" w:name="_Toc349126986"/>
    <w:bookmarkStart w:id="7" w:name="_Toc370460202"/>
    <w:p w14:paraId="69151735" w14:textId="484C0ADD" w:rsidR="00C25DC3" w:rsidRPr="0080220E" w:rsidRDefault="00A07754" w:rsidP="00C25DC3">
      <w:pPr>
        <w:pStyle w:val="Heading1"/>
        <w:numPr>
          <w:ilvl w:val="0"/>
          <w:numId w:val="0"/>
        </w:numPr>
        <w:spacing w:after="120"/>
        <w:rPr>
          <w:rFonts w:ascii="Garamond" w:hAnsi="Garamond"/>
          <w:b w:val="0"/>
          <w:sz w:val="24"/>
          <w:szCs w:val="24"/>
        </w:rPr>
        <w:sectPr w:rsidR="00C25DC3" w:rsidRPr="0080220E" w:rsidSect="00C25DC3">
          <w:pgSz w:w="12240" w:h="15840"/>
          <w:pgMar w:top="1440" w:right="1440" w:bottom="1440" w:left="1440" w:header="720" w:footer="720" w:gutter="0"/>
          <w:cols w:space="720"/>
          <w:docGrid w:linePitch="360"/>
        </w:sectPr>
      </w:pPr>
      <w:r w:rsidRPr="00DA353D">
        <w:rPr>
          <w:rFonts w:ascii="Garamond" w:hAnsi="Garamond"/>
          <w:b w:val="0"/>
          <w:noProof/>
          <w:sz w:val="24"/>
          <w:szCs w:val="24"/>
        </w:rPr>
        <mc:AlternateContent>
          <mc:Choice Requires="wps">
            <w:drawing>
              <wp:anchor distT="0" distB="0" distL="114300" distR="114300" simplePos="0" relativeHeight="251667456" behindDoc="0" locked="0" layoutInCell="1" allowOverlap="1" wp14:anchorId="1C04AE63" wp14:editId="648A8F25">
                <wp:simplePos x="0" y="0"/>
                <wp:positionH relativeFrom="column">
                  <wp:posOffset>-74428</wp:posOffset>
                </wp:positionH>
                <wp:positionV relativeFrom="paragraph">
                  <wp:posOffset>2453020</wp:posOffset>
                </wp:positionV>
                <wp:extent cx="59436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BFBB9"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85pt,193.15pt" to="462.1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" strokecolor="#4579b8 [3044]"/>
            </w:pict>
          </mc:Fallback>
        </mc:AlternateContent>
      </w:r>
      <w:r w:rsidRPr="00DA353D">
        <w:rPr>
          <w:rFonts w:ascii="Garamond" w:hAnsi="Garamond"/>
          <w:b w:val="0"/>
          <w:noProof/>
          <w:sz w:val="24"/>
          <w:szCs w:val="24"/>
        </w:rPr>
        <mc:AlternateContent>
          <mc:Choice Requires="wps">
            <w:drawing>
              <wp:anchor distT="0" distB="0" distL="114300" distR="114300" simplePos="0" relativeHeight="251664384" behindDoc="0" locked="0" layoutInCell="1" allowOverlap="1" wp14:anchorId="104DAD5C" wp14:editId="6400C27E">
                <wp:simplePos x="0" y="0"/>
                <wp:positionH relativeFrom="column">
                  <wp:posOffset>-265814</wp:posOffset>
                </wp:positionH>
                <wp:positionV relativeFrom="paragraph">
                  <wp:posOffset>7184508</wp:posOffset>
                </wp:positionV>
                <wp:extent cx="4880344" cy="1020726"/>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1020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A642" w14:textId="77777777" w:rsidR="00A60BAB" w:rsidRDefault="00A60BAB" w:rsidP="00DA353D">
                            <w:pPr>
                              <w:spacing w:after="0"/>
                              <w:rPr>
                                <w:rFonts w:ascii="Garamond" w:hAnsi="Garamond"/>
                                <w:b/>
                                <w:sz w:val="28"/>
                                <w:szCs w:val="42"/>
                              </w:rPr>
                            </w:pPr>
                            <w:r w:rsidRPr="00DA353D">
                              <w:rPr>
                                <w:rFonts w:ascii="Garamond" w:hAnsi="Garamond"/>
                                <w:b/>
                                <w:sz w:val="28"/>
                                <w:szCs w:val="42"/>
                              </w:rPr>
                              <w:t xml:space="preserve">CPUC Energy Division </w:t>
                            </w:r>
                          </w:p>
                          <w:p w14:paraId="5E7A039A" w14:textId="49AEB3E2" w:rsidR="00A60BAB" w:rsidRDefault="00A60BAB" w:rsidP="00A07754">
                            <w:pPr>
                              <w:spacing w:after="0"/>
                              <w:rPr>
                                <w:rFonts w:ascii="Garamond" w:hAnsi="Garamond"/>
                                <w:b/>
                                <w:sz w:val="28"/>
                                <w:szCs w:val="42"/>
                              </w:rPr>
                            </w:pPr>
                            <w:r>
                              <w:rPr>
                                <w:rFonts w:ascii="Garamond" w:hAnsi="Garamond"/>
                                <w:b/>
                                <w:sz w:val="28"/>
                                <w:szCs w:val="42"/>
                              </w:rPr>
                              <w:t>Renewable Procurement and Market Development Section</w:t>
                            </w:r>
                            <w:r w:rsidRPr="00DA353D">
                              <w:rPr>
                                <w:rFonts w:ascii="Garamond" w:hAnsi="Garamond"/>
                                <w:b/>
                                <w:sz w:val="28"/>
                                <w:szCs w:val="42"/>
                              </w:rPr>
                              <w:t xml:space="preserve"> </w:t>
                            </w:r>
                          </w:p>
                          <w:p w14:paraId="4E37CED3" w14:textId="77777777" w:rsidR="00A60BAB" w:rsidRDefault="00A60BAB" w:rsidP="00DA353D">
                            <w:pPr>
                              <w:spacing w:after="0"/>
                              <w:rPr>
                                <w:rFonts w:ascii="Garamond" w:hAnsi="Garamond"/>
                                <w:b/>
                                <w:sz w:val="28"/>
                                <w:szCs w:val="42"/>
                              </w:rPr>
                            </w:pPr>
                          </w:p>
                          <w:p w14:paraId="7C7331CE" w14:textId="08B5115B" w:rsidR="00A60BAB" w:rsidRPr="00DA353D" w:rsidRDefault="00A60BAB" w:rsidP="00DA353D">
                            <w:pPr>
                              <w:spacing w:after="0"/>
                              <w:rPr>
                                <w:rFonts w:ascii="Garamond" w:hAnsi="Garamond"/>
                                <w:b/>
                                <w:i/>
                                <w:sz w:val="28"/>
                                <w:szCs w:val="42"/>
                              </w:rPr>
                            </w:pPr>
                            <w:r w:rsidRPr="00DA353D">
                              <w:rPr>
                                <w:rFonts w:ascii="Garamond" w:hAnsi="Garamond"/>
                                <w:b/>
                                <w:sz w:val="28"/>
                                <w:szCs w:val="42"/>
                              </w:rPr>
                              <w:t xml:space="preserve">Updated </w:t>
                            </w:r>
                            <w:r>
                              <w:rPr>
                                <w:rFonts w:ascii="Garamond" w:hAnsi="Garamond"/>
                                <w:b/>
                                <w:sz w:val="28"/>
                                <w:szCs w:val="42"/>
                              </w:rPr>
                              <w:t>June</w:t>
                            </w:r>
                            <w:r w:rsidRPr="00DA353D">
                              <w:rPr>
                                <w:rFonts w:ascii="Garamond" w:hAnsi="Garamond"/>
                                <w:b/>
                                <w:sz w:val="28"/>
                                <w:szCs w:val="42"/>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DAD5C" id="_x0000_t202" coordsize="21600,21600" o:spt="202" path="m,l,21600r21600,l21600,xe">
                <v:stroke joinstyle="miter"/>
                <v:path gradientshapeok="t" o:connecttype="rect"/>
              </v:shapetype>
              <v:shape id="Text Box 10" o:spid="_x0000_s1026" type="#_x0000_t202" style="position:absolute;margin-left:-20.95pt;margin-top:565.7pt;width:384.3pt;height:8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" filled="f" stroked="f">
                <v:textbox>
                  <w:txbxContent>
                    <w:p w14:paraId="1333A642" w14:textId="77777777" w:rsidR="00A60BAB" w:rsidRDefault="00A60BAB" w:rsidP="00DA353D">
                      <w:pPr>
                        <w:spacing w:after="0"/>
                        <w:rPr>
                          <w:rFonts w:ascii="Garamond" w:hAnsi="Garamond"/>
                          <w:b/>
                          <w:sz w:val="28"/>
                          <w:szCs w:val="42"/>
                        </w:rPr>
                      </w:pPr>
                      <w:r w:rsidRPr="00DA353D">
                        <w:rPr>
                          <w:rFonts w:ascii="Garamond" w:hAnsi="Garamond"/>
                          <w:b/>
                          <w:sz w:val="28"/>
                          <w:szCs w:val="42"/>
                        </w:rPr>
                        <w:t xml:space="preserve">CPUC Energy Division </w:t>
                      </w:r>
                    </w:p>
                    <w:p w14:paraId="5E7A039A" w14:textId="49AEB3E2" w:rsidR="00A60BAB" w:rsidRDefault="00A60BAB" w:rsidP="00A07754">
                      <w:pPr>
                        <w:spacing w:after="0"/>
                        <w:rPr>
                          <w:rFonts w:ascii="Garamond" w:hAnsi="Garamond"/>
                          <w:b/>
                          <w:sz w:val="28"/>
                          <w:szCs w:val="42"/>
                        </w:rPr>
                      </w:pPr>
                      <w:r>
                        <w:rPr>
                          <w:rFonts w:ascii="Garamond" w:hAnsi="Garamond"/>
                          <w:b/>
                          <w:sz w:val="28"/>
                          <w:szCs w:val="42"/>
                        </w:rPr>
                        <w:t>Renewable Procurement and Market Development Section</w:t>
                      </w:r>
                      <w:r w:rsidRPr="00DA353D">
                        <w:rPr>
                          <w:rFonts w:ascii="Garamond" w:hAnsi="Garamond"/>
                          <w:b/>
                          <w:sz w:val="28"/>
                          <w:szCs w:val="42"/>
                        </w:rPr>
                        <w:t xml:space="preserve"> </w:t>
                      </w:r>
                    </w:p>
                    <w:p w14:paraId="4E37CED3" w14:textId="77777777" w:rsidR="00A60BAB" w:rsidRDefault="00A60BAB" w:rsidP="00DA353D">
                      <w:pPr>
                        <w:spacing w:after="0"/>
                        <w:rPr>
                          <w:rFonts w:ascii="Garamond" w:hAnsi="Garamond"/>
                          <w:b/>
                          <w:sz w:val="28"/>
                          <w:szCs w:val="42"/>
                        </w:rPr>
                      </w:pPr>
                    </w:p>
                    <w:p w14:paraId="7C7331CE" w14:textId="08B5115B" w:rsidR="00A60BAB" w:rsidRPr="00DA353D" w:rsidRDefault="00A60BAB" w:rsidP="00DA353D">
                      <w:pPr>
                        <w:spacing w:after="0"/>
                        <w:rPr>
                          <w:rFonts w:ascii="Garamond" w:hAnsi="Garamond"/>
                          <w:b/>
                          <w:i/>
                          <w:sz w:val="28"/>
                          <w:szCs w:val="42"/>
                        </w:rPr>
                      </w:pPr>
                      <w:r w:rsidRPr="00DA353D">
                        <w:rPr>
                          <w:rFonts w:ascii="Garamond" w:hAnsi="Garamond"/>
                          <w:b/>
                          <w:sz w:val="28"/>
                          <w:szCs w:val="42"/>
                        </w:rPr>
                        <w:t xml:space="preserve">Updated </w:t>
                      </w:r>
                      <w:r>
                        <w:rPr>
                          <w:rFonts w:ascii="Garamond" w:hAnsi="Garamond"/>
                          <w:b/>
                          <w:sz w:val="28"/>
                          <w:szCs w:val="42"/>
                        </w:rPr>
                        <w:t>June</w:t>
                      </w:r>
                      <w:r w:rsidRPr="00DA353D">
                        <w:rPr>
                          <w:rFonts w:ascii="Garamond" w:hAnsi="Garamond"/>
                          <w:b/>
                          <w:sz w:val="28"/>
                          <w:szCs w:val="42"/>
                        </w:rPr>
                        <w:t xml:space="preserve"> 2020</w:t>
                      </w:r>
                    </w:p>
                  </w:txbxContent>
                </v:textbox>
              </v:shape>
            </w:pict>
          </mc:Fallback>
        </mc:AlternateContent>
      </w:r>
      <w:r w:rsidR="00C25DC3" w:rsidRPr="00DA353D">
        <w:rPr>
          <w:rFonts w:ascii="Garamond" w:hAnsi="Garamond"/>
          <w:b w:val="0"/>
          <w:noProof/>
          <w:sz w:val="24"/>
          <w:szCs w:val="24"/>
        </w:rPr>
        <mc:AlternateContent>
          <mc:Choice Requires="wps">
            <w:drawing>
              <wp:anchor distT="0" distB="0" distL="114300" distR="114300" simplePos="0" relativeHeight="251659264" behindDoc="0" locked="0" layoutInCell="1" allowOverlap="1" wp14:anchorId="706E1DC3" wp14:editId="3DDB72E0">
                <wp:simplePos x="0" y="0"/>
                <wp:positionH relativeFrom="margin">
                  <wp:posOffset>-212267</wp:posOffset>
                </wp:positionH>
                <wp:positionV relativeFrom="paragraph">
                  <wp:posOffset>932121</wp:posOffset>
                </wp:positionV>
                <wp:extent cx="6337005" cy="27527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005" cy="275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CC8C" w14:textId="77777777" w:rsidR="00A60BAB" w:rsidRDefault="00A60BAB" w:rsidP="00C25DC3">
                            <w:pPr>
                              <w:rPr>
                                <w:rFonts w:ascii="Century Gothic" w:hAnsi="Century Gothic"/>
                                <w:b/>
                                <w:color w:val="17365D" w:themeColor="text2" w:themeShade="BF"/>
                                <w:sz w:val="52"/>
                                <w:szCs w:val="42"/>
                              </w:rPr>
                            </w:pPr>
                            <w:r w:rsidRPr="00DA353D">
                              <w:rPr>
                                <w:rFonts w:ascii="Century Gothic" w:hAnsi="Century Gothic"/>
                                <w:b/>
                                <w:color w:val="17365D" w:themeColor="text2" w:themeShade="BF"/>
                                <w:sz w:val="52"/>
                                <w:szCs w:val="42"/>
                              </w:rPr>
                              <w:t>California Renewables Portfolio Standard Program</w:t>
                            </w:r>
                            <w:r>
                              <w:rPr>
                                <w:rFonts w:ascii="Century Gothic" w:hAnsi="Century Gothic"/>
                                <w:b/>
                                <w:color w:val="17365D" w:themeColor="text2" w:themeShade="BF"/>
                                <w:sz w:val="52"/>
                                <w:szCs w:val="42"/>
                              </w:rPr>
                              <w:t xml:space="preserve"> </w:t>
                            </w:r>
                          </w:p>
                          <w:p w14:paraId="3E947F95" w14:textId="695808F3" w:rsidR="00A60BAB" w:rsidRPr="00DA353D" w:rsidRDefault="00A60BAB" w:rsidP="00C25DC3">
                            <w:pPr>
                              <w:rPr>
                                <w:rFonts w:ascii="Century Gothic" w:hAnsi="Century Gothic"/>
                                <w:b/>
                                <w:color w:val="17365D" w:themeColor="text2" w:themeShade="BF"/>
                                <w:sz w:val="52"/>
                                <w:szCs w:val="42"/>
                              </w:rPr>
                            </w:pPr>
                            <w:r>
                              <w:rPr>
                                <w:rFonts w:ascii="Century Gothic" w:hAnsi="Century Gothic"/>
                                <w:b/>
                                <w:color w:val="17365D" w:themeColor="text2" w:themeShade="BF"/>
                                <w:sz w:val="52"/>
                                <w:szCs w:val="42"/>
                              </w:rPr>
                              <w:t xml:space="preserve">Compliance Reporting </w:t>
                            </w:r>
                          </w:p>
                          <w:p w14:paraId="5739349D" w14:textId="77777777" w:rsidR="00A60BAB" w:rsidRPr="00DA353D" w:rsidRDefault="00A60BAB" w:rsidP="00C25DC3">
                            <w:pPr>
                              <w:rPr>
                                <w:rFonts w:ascii="Century Gothic" w:hAnsi="Century Gothic"/>
                                <w:b/>
                                <w:color w:val="000080"/>
                                <w:sz w:val="52"/>
                                <w:szCs w:val="42"/>
                              </w:rPr>
                            </w:pPr>
                          </w:p>
                          <w:p w14:paraId="61EF5A68" w14:textId="142FACF8" w:rsidR="00A60BAB" w:rsidRPr="00DA353D" w:rsidRDefault="00A60BAB" w:rsidP="00C25DC3">
                            <w:pPr>
                              <w:rPr>
                                <w:rFonts w:ascii="Century Gothic" w:hAnsi="Century Gothic"/>
                                <w:b/>
                                <w:color w:val="548DD4" w:themeColor="text2" w:themeTint="99"/>
                                <w:sz w:val="48"/>
                                <w:szCs w:val="42"/>
                              </w:rPr>
                            </w:pPr>
                            <w:r w:rsidRPr="00DA353D">
                              <w:rPr>
                                <w:rFonts w:ascii="Century Gothic" w:hAnsi="Century Gothic"/>
                                <w:b/>
                                <w:color w:val="548DD4" w:themeColor="text2" w:themeTint="99"/>
                                <w:sz w:val="48"/>
                                <w:szCs w:val="42"/>
                              </w:rPr>
                              <w:t>Portfolio Content Category Classification Review Process Handbook</w:t>
                            </w:r>
                            <w:r w:rsidRPr="00F3601D">
                              <w:rPr>
                                <w:b/>
                                <w:color w:val="000080"/>
                                <w:sz w:val="48"/>
                                <w:szCs w:val="4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1DC3" id="Text Box 12" o:spid="_x0000_s1027" type="#_x0000_t202" style="position:absolute;margin-left:-16.7pt;margin-top:73.4pt;width:499pt;height:2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" filled="f" stroked="f">
                <v:textbox>
                  <w:txbxContent>
                    <w:p w14:paraId="01C4CC8C" w14:textId="77777777" w:rsidR="00A60BAB" w:rsidRDefault="00A60BAB" w:rsidP="00C25DC3">
                      <w:pPr>
                        <w:rPr>
                          <w:rFonts w:ascii="Century Gothic" w:hAnsi="Century Gothic"/>
                          <w:b/>
                          <w:color w:val="17365D" w:themeColor="text2" w:themeShade="BF"/>
                          <w:sz w:val="52"/>
                          <w:szCs w:val="42"/>
                        </w:rPr>
                      </w:pPr>
                      <w:r w:rsidRPr="00DA353D">
                        <w:rPr>
                          <w:rFonts w:ascii="Century Gothic" w:hAnsi="Century Gothic"/>
                          <w:b/>
                          <w:color w:val="17365D" w:themeColor="text2" w:themeShade="BF"/>
                          <w:sz w:val="52"/>
                          <w:szCs w:val="42"/>
                        </w:rPr>
                        <w:t>California Renewables Portfolio Standard Program</w:t>
                      </w:r>
                      <w:r>
                        <w:rPr>
                          <w:rFonts w:ascii="Century Gothic" w:hAnsi="Century Gothic"/>
                          <w:b/>
                          <w:color w:val="17365D" w:themeColor="text2" w:themeShade="BF"/>
                          <w:sz w:val="52"/>
                          <w:szCs w:val="42"/>
                        </w:rPr>
                        <w:t xml:space="preserve"> </w:t>
                      </w:r>
                    </w:p>
                    <w:p w14:paraId="3E947F95" w14:textId="695808F3" w:rsidR="00A60BAB" w:rsidRPr="00DA353D" w:rsidRDefault="00A60BAB" w:rsidP="00C25DC3">
                      <w:pPr>
                        <w:rPr>
                          <w:rFonts w:ascii="Century Gothic" w:hAnsi="Century Gothic"/>
                          <w:b/>
                          <w:color w:val="17365D" w:themeColor="text2" w:themeShade="BF"/>
                          <w:sz w:val="52"/>
                          <w:szCs w:val="42"/>
                        </w:rPr>
                      </w:pPr>
                      <w:r>
                        <w:rPr>
                          <w:rFonts w:ascii="Century Gothic" w:hAnsi="Century Gothic"/>
                          <w:b/>
                          <w:color w:val="17365D" w:themeColor="text2" w:themeShade="BF"/>
                          <w:sz w:val="52"/>
                          <w:szCs w:val="42"/>
                        </w:rPr>
                        <w:t xml:space="preserve">Compliance Reporting </w:t>
                      </w:r>
                    </w:p>
                    <w:p w14:paraId="5739349D" w14:textId="77777777" w:rsidR="00A60BAB" w:rsidRPr="00DA353D" w:rsidRDefault="00A60BAB" w:rsidP="00C25DC3">
                      <w:pPr>
                        <w:rPr>
                          <w:rFonts w:ascii="Century Gothic" w:hAnsi="Century Gothic"/>
                          <w:b/>
                          <w:color w:val="000080"/>
                          <w:sz w:val="52"/>
                          <w:szCs w:val="42"/>
                        </w:rPr>
                      </w:pPr>
                    </w:p>
                    <w:p w14:paraId="61EF5A68" w14:textId="142FACF8" w:rsidR="00A60BAB" w:rsidRPr="00DA353D" w:rsidRDefault="00A60BAB" w:rsidP="00C25DC3">
                      <w:pPr>
                        <w:rPr>
                          <w:rFonts w:ascii="Century Gothic" w:hAnsi="Century Gothic"/>
                          <w:b/>
                          <w:color w:val="548DD4" w:themeColor="text2" w:themeTint="99"/>
                          <w:sz w:val="48"/>
                          <w:szCs w:val="42"/>
                        </w:rPr>
                      </w:pPr>
                      <w:r w:rsidRPr="00DA353D">
                        <w:rPr>
                          <w:rFonts w:ascii="Century Gothic" w:hAnsi="Century Gothic"/>
                          <w:b/>
                          <w:color w:val="548DD4" w:themeColor="text2" w:themeTint="99"/>
                          <w:sz w:val="48"/>
                          <w:szCs w:val="42"/>
                        </w:rPr>
                        <w:t>Portfolio Content Category Classification Review Process Handbook</w:t>
                      </w:r>
                      <w:r w:rsidRPr="00F3601D">
                        <w:rPr>
                          <w:b/>
                          <w:color w:val="000080"/>
                          <w:sz w:val="48"/>
                          <w:szCs w:val="42"/>
                        </w:rPr>
                        <w:br/>
                      </w:r>
                    </w:p>
                  </w:txbxContent>
                </v:textbox>
                <w10:wrap anchorx="margin"/>
              </v:shape>
            </w:pict>
          </mc:Fallback>
        </mc:AlternateContent>
      </w:r>
      <w:r w:rsidR="00C25DC3" w:rsidRPr="00DA353D">
        <w:rPr>
          <w:rFonts w:ascii="Garamond" w:hAnsi="Garamond"/>
          <w:b w:val="0"/>
          <w:noProof/>
          <w:sz w:val="24"/>
          <w:szCs w:val="24"/>
        </w:rPr>
        <w:drawing>
          <wp:anchor distT="0" distB="0" distL="114300" distR="114300" simplePos="0" relativeHeight="251663360" behindDoc="0" locked="0" layoutInCell="1" allowOverlap="1" wp14:anchorId="1C7E9820" wp14:editId="3F9EB527">
            <wp:simplePos x="0" y="0"/>
            <wp:positionH relativeFrom="column">
              <wp:posOffset>4874260</wp:posOffset>
            </wp:positionH>
            <wp:positionV relativeFrom="paragraph">
              <wp:posOffset>6893560</wp:posOffset>
            </wp:positionV>
            <wp:extent cx="1508760" cy="1471930"/>
            <wp:effectExtent l="0" t="0" r="0" b="0"/>
            <wp:wrapNone/>
            <wp:docPr id="9" name="Picture 9" descr="PUC_Colo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C_Color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1471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sdt>
      <w:sdtPr>
        <w:rPr>
          <w:rFonts w:ascii="Palatino Linotype" w:hAnsi="Palatino Linotype"/>
          <w:b w:val="0"/>
          <w:bCs w:val="0"/>
          <w:i w:val="0"/>
          <w:iCs w:val="0"/>
          <w:sz w:val="22"/>
        </w:rPr>
        <w:id w:val="137703121"/>
        <w:docPartObj>
          <w:docPartGallery w:val="Table of Contents"/>
          <w:docPartUnique/>
        </w:docPartObj>
      </w:sdtPr>
      <w:sdtEndPr>
        <w:rPr>
          <w:rFonts w:ascii="Garamond" w:hAnsi="Garamond"/>
          <w:noProof/>
        </w:rPr>
      </w:sdtEndPr>
      <w:sdtContent>
        <w:p w14:paraId="1C02937F" w14:textId="37CD60B4" w:rsidR="0080220E" w:rsidRPr="00DA353D" w:rsidRDefault="00C02FD5" w:rsidP="0080220E">
          <w:pPr>
            <w:pStyle w:val="TOC1"/>
            <w:rPr>
              <w:rFonts w:eastAsiaTheme="minorEastAsia" w:cstheme="minorBidi"/>
              <w:noProof/>
            </w:rPr>
          </w:pPr>
          <w:r w:rsidRPr="0080220E">
            <w:t>Table of Contents</w:t>
          </w:r>
          <w:r w:rsidRPr="00DA353D">
            <w:fldChar w:fldCharType="begin"/>
          </w:r>
          <w:r w:rsidRPr="0080220E">
            <w:instrText xml:space="preserve"> TOC \o "1-3" \h \z \u </w:instrText>
          </w:r>
          <w:r w:rsidRPr="00DA353D">
            <w:fldChar w:fldCharType="separate"/>
          </w:r>
        </w:p>
        <w:p w14:paraId="29E13AE4" w14:textId="2A3F4CF5" w:rsidR="0080220E" w:rsidRPr="0080220E" w:rsidRDefault="00C50866" w:rsidP="00DA353D">
          <w:pPr>
            <w:pStyle w:val="TOC1"/>
            <w:rPr>
              <w:rFonts w:eastAsiaTheme="minorEastAsia" w:cstheme="minorBidi"/>
              <w:noProof/>
            </w:rPr>
          </w:pPr>
          <w:hyperlink w:anchor="_Toc40196431" w:history="1">
            <w:r w:rsidR="0080220E" w:rsidRPr="00DA353D">
              <w:rPr>
                <w:rStyle w:val="Hyperlink"/>
                <w:rFonts w:ascii="Garamond" w:hAnsi="Garamond"/>
                <w:b w:val="0"/>
                <w:i w:val="0"/>
                <w:iCs w:val="0"/>
                <w:noProof/>
              </w:rPr>
              <w:t>I.</w:t>
            </w:r>
            <w:r w:rsidR="0080220E" w:rsidRPr="0080220E">
              <w:rPr>
                <w:rFonts w:eastAsiaTheme="minorEastAsia" w:cstheme="minorBidi"/>
                <w:noProof/>
              </w:rPr>
              <w:tab/>
            </w:r>
            <w:r w:rsidR="0080220E" w:rsidRPr="00DA353D">
              <w:rPr>
                <w:rStyle w:val="Hyperlink"/>
                <w:rFonts w:ascii="Garamond" w:hAnsi="Garamond"/>
                <w:b w:val="0"/>
                <w:i w:val="0"/>
                <w:iCs w:val="0"/>
                <w:noProof/>
              </w:rPr>
              <w:t>Executive Summary</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_Toc40196431 \h </w:instrText>
            </w:r>
            <w:r w:rsidR="0080220E" w:rsidRPr="0080220E">
              <w:rPr>
                <w:noProof/>
                <w:webHidden/>
              </w:rPr>
            </w:r>
            <w:r w:rsidR="0080220E" w:rsidRPr="0080220E">
              <w:rPr>
                <w:noProof/>
                <w:webHidden/>
              </w:rPr>
              <w:fldChar w:fldCharType="separate"/>
            </w:r>
            <w:r w:rsidR="00EE5CDE">
              <w:rPr>
                <w:noProof/>
                <w:webHidden/>
              </w:rPr>
              <w:t>1</w:t>
            </w:r>
            <w:r w:rsidR="0080220E" w:rsidRPr="0080220E">
              <w:rPr>
                <w:noProof/>
                <w:webHidden/>
              </w:rPr>
              <w:fldChar w:fldCharType="end"/>
            </w:r>
          </w:hyperlink>
        </w:p>
        <w:p w14:paraId="409D08CE" w14:textId="7AF8CD87" w:rsidR="0080220E" w:rsidRPr="0080220E" w:rsidRDefault="00C50866" w:rsidP="00DA353D">
          <w:pPr>
            <w:pStyle w:val="TOC1"/>
            <w:rPr>
              <w:rFonts w:eastAsiaTheme="minorEastAsia" w:cstheme="minorBidi"/>
              <w:noProof/>
            </w:rPr>
          </w:pPr>
          <w:hyperlink w:anchor="_Toc40196432" w:history="1">
            <w:r w:rsidR="0080220E" w:rsidRPr="00DA353D">
              <w:rPr>
                <w:rStyle w:val="Hyperlink"/>
                <w:rFonts w:ascii="Garamond" w:hAnsi="Garamond"/>
                <w:b w:val="0"/>
                <w:i w:val="0"/>
                <w:iCs w:val="0"/>
                <w:noProof/>
              </w:rPr>
              <w:t>II.</w:t>
            </w:r>
            <w:r w:rsidR="0080220E" w:rsidRPr="0080220E">
              <w:rPr>
                <w:rFonts w:eastAsiaTheme="minorEastAsia" w:cstheme="minorBidi"/>
                <w:noProof/>
              </w:rPr>
              <w:tab/>
            </w:r>
            <w:r w:rsidR="0080220E" w:rsidRPr="00DA353D">
              <w:rPr>
                <w:rStyle w:val="Hyperlink"/>
                <w:rFonts w:ascii="Garamond" w:hAnsi="Garamond"/>
                <w:b w:val="0"/>
                <w:i w:val="0"/>
                <w:iCs w:val="0"/>
                <w:noProof/>
              </w:rPr>
              <w:t>Descriptions of Portfolio Content Category Classifications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_Toc40196432 \h </w:instrText>
            </w:r>
            <w:r w:rsidR="0080220E" w:rsidRPr="0080220E">
              <w:rPr>
                <w:noProof/>
                <w:webHidden/>
              </w:rPr>
            </w:r>
            <w:r w:rsidR="0080220E" w:rsidRPr="0080220E">
              <w:rPr>
                <w:noProof/>
                <w:webHidden/>
              </w:rPr>
              <w:fldChar w:fldCharType="separate"/>
            </w:r>
            <w:r w:rsidR="00EE5CDE">
              <w:rPr>
                <w:noProof/>
                <w:webHidden/>
              </w:rPr>
              <w:t>2</w:t>
            </w:r>
            <w:r w:rsidR="0080220E" w:rsidRPr="0080220E">
              <w:rPr>
                <w:noProof/>
                <w:webHidden/>
              </w:rPr>
              <w:fldChar w:fldCharType="end"/>
            </w:r>
          </w:hyperlink>
        </w:p>
        <w:p w14:paraId="6367A7B7" w14:textId="2BBBD4AC" w:rsidR="0080220E" w:rsidRPr="00DA353D" w:rsidRDefault="00C50866">
          <w:pPr>
            <w:pStyle w:val="TOC2"/>
            <w:rPr>
              <w:rFonts w:eastAsiaTheme="minorEastAsia" w:cstheme="minorBidi"/>
              <w:noProof/>
              <w:sz w:val="24"/>
              <w:szCs w:val="24"/>
            </w:rPr>
          </w:pPr>
          <w:hyperlink w:anchor="_Toc40196433" w:history="1">
            <w:r w:rsidR="0080220E" w:rsidRPr="00DA353D">
              <w:rPr>
                <w:rStyle w:val="Hyperlink"/>
                <w:rFonts w:ascii="Garamond" w:hAnsi="Garamond"/>
                <w:b w:val="0"/>
                <w:noProof/>
              </w:rPr>
              <w:t>A.</w:t>
            </w:r>
            <w:r w:rsidR="0080220E" w:rsidRPr="00DA353D">
              <w:rPr>
                <w:rFonts w:eastAsiaTheme="minorEastAsia" w:cstheme="minorBidi"/>
                <w:noProof/>
                <w:sz w:val="24"/>
                <w:szCs w:val="24"/>
              </w:rPr>
              <w:tab/>
            </w:r>
            <w:r w:rsidR="0080220E" w:rsidRPr="00DA353D">
              <w:rPr>
                <w:rStyle w:val="Hyperlink"/>
                <w:rFonts w:ascii="Garamond" w:hAnsi="Garamond"/>
                <w:b w:val="0"/>
                <w:noProof/>
              </w:rPr>
              <w:t>Definition of Portfolio Content Category 1 (PCC 1) - Facilities with First Point of Interconnection within a California Balancing Authority (CBA) or with Generation Scheduled into a CBA</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_Toc40196433 \h </w:instrText>
            </w:r>
            <w:r w:rsidR="0080220E" w:rsidRPr="0080220E">
              <w:rPr>
                <w:noProof/>
                <w:webHidden/>
              </w:rPr>
            </w:r>
            <w:r w:rsidR="0080220E" w:rsidRPr="0080220E">
              <w:rPr>
                <w:noProof/>
                <w:webHidden/>
              </w:rPr>
              <w:fldChar w:fldCharType="separate"/>
            </w:r>
            <w:r w:rsidR="00EE5CDE">
              <w:rPr>
                <w:noProof/>
                <w:webHidden/>
              </w:rPr>
              <w:t>2</w:t>
            </w:r>
            <w:r w:rsidR="0080220E" w:rsidRPr="0080220E">
              <w:rPr>
                <w:noProof/>
                <w:webHidden/>
              </w:rPr>
              <w:fldChar w:fldCharType="end"/>
            </w:r>
          </w:hyperlink>
        </w:p>
        <w:p w14:paraId="1A9A125E" w14:textId="7FD66959" w:rsidR="0080220E" w:rsidRPr="00DA353D" w:rsidRDefault="00C50866">
          <w:pPr>
            <w:pStyle w:val="TOC2"/>
            <w:rPr>
              <w:rFonts w:eastAsiaTheme="minorEastAsia" w:cstheme="minorBidi"/>
              <w:noProof/>
              <w:sz w:val="24"/>
              <w:szCs w:val="24"/>
            </w:rPr>
          </w:pPr>
          <w:hyperlink w:anchor="_Toc40196434" w:history="1">
            <w:r w:rsidR="0080220E" w:rsidRPr="00DA353D">
              <w:rPr>
                <w:rStyle w:val="Hyperlink"/>
                <w:rFonts w:ascii="Garamond" w:hAnsi="Garamond"/>
                <w:b w:val="0"/>
                <w:noProof/>
              </w:rPr>
              <w:t>B.</w:t>
            </w:r>
            <w:r w:rsidR="0080220E" w:rsidRPr="00DA353D">
              <w:rPr>
                <w:rFonts w:eastAsiaTheme="minorEastAsia" w:cstheme="minorBidi"/>
                <w:noProof/>
                <w:sz w:val="24"/>
                <w:szCs w:val="24"/>
              </w:rPr>
              <w:tab/>
            </w:r>
            <w:r w:rsidR="0080220E" w:rsidRPr="00DA353D">
              <w:rPr>
                <w:rStyle w:val="Hyperlink"/>
                <w:rFonts w:ascii="Garamond" w:hAnsi="Garamond"/>
                <w:b w:val="0"/>
                <w:noProof/>
              </w:rPr>
              <w:t>Definition of Portfolio Content Category 2 (PCC 2) -Incremental Electricity and Substitute Energy</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_Toc40196434 \h </w:instrText>
            </w:r>
            <w:r w:rsidR="0080220E" w:rsidRPr="0080220E">
              <w:rPr>
                <w:noProof/>
                <w:webHidden/>
              </w:rPr>
            </w:r>
            <w:r w:rsidR="0080220E" w:rsidRPr="0080220E">
              <w:rPr>
                <w:noProof/>
                <w:webHidden/>
              </w:rPr>
              <w:fldChar w:fldCharType="separate"/>
            </w:r>
            <w:r w:rsidR="00EE5CDE">
              <w:rPr>
                <w:noProof/>
                <w:webHidden/>
              </w:rPr>
              <w:t>3</w:t>
            </w:r>
            <w:r w:rsidR="0080220E" w:rsidRPr="0080220E">
              <w:rPr>
                <w:noProof/>
                <w:webHidden/>
              </w:rPr>
              <w:fldChar w:fldCharType="end"/>
            </w:r>
          </w:hyperlink>
        </w:p>
        <w:p w14:paraId="23BF4F6E" w14:textId="70812CF4" w:rsidR="0080220E" w:rsidRPr="00DA353D" w:rsidRDefault="00C50866">
          <w:pPr>
            <w:pStyle w:val="TOC2"/>
            <w:rPr>
              <w:rFonts w:eastAsiaTheme="minorEastAsia" w:cstheme="minorBidi"/>
              <w:noProof/>
              <w:sz w:val="24"/>
              <w:szCs w:val="24"/>
            </w:rPr>
          </w:pPr>
          <w:hyperlink w:anchor="_Toc40196436" w:history="1">
            <w:r w:rsidR="0080220E" w:rsidRPr="00DA353D">
              <w:rPr>
                <w:rStyle w:val="Hyperlink"/>
                <w:rFonts w:ascii="Garamond" w:hAnsi="Garamond"/>
                <w:b w:val="0"/>
                <w:noProof/>
              </w:rPr>
              <w:t>C.</w:t>
            </w:r>
            <w:r w:rsidR="0080220E" w:rsidRPr="00DA353D">
              <w:rPr>
                <w:rFonts w:eastAsiaTheme="minorEastAsia" w:cstheme="minorBidi"/>
                <w:noProof/>
                <w:sz w:val="24"/>
                <w:szCs w:val="24"/>
              </w:rPr>
              <w:tab/>
            </w:r>
            <w:r w:rsidR="0080220E" w:rsidRPr="00DA353D">
              <w:rPr>
                <w:rStyle w:val="Hyperlink"/>
                <w:rFonts w:ascii="Garamond" w:hAnsi="Garamond"/>
                <w:b w:val="0"/>
                <w:noProof/>
              </w:rPr>
              <w:t>Definition of Portfolio Content Category 3 (PCC 3) -Electricity Products Not Qualifying as PCC 1 or PCC 2, Including Unbundled RECs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_Toc40196436 \h </w:instrText>
            </w:r>
            <w:r w:rsidR="0080220E" w:rsidRPr="0080220E">
              <w:rPr>
                <w:noProof/>
                <w:webHidden/>
              </w:rPr>
            </w:r>
            <w:r w:rsidR="0080220E" w:rsidRPr="0080220E">
              <w:rPr>
                <w:noProof/>
                <w:webHidden/>
              </w:rPr>
              <w:fldChar w:fldCharType="separate"/>
            </w:r>
            <w:r w:rsidR="00EE5CDE">
              <w:rPr>
                <w:noProof/>
                <w:webHidden/>
              </w:rPr>
              <w:t>3</w:t>
            </w:r>
            <w:r w:rsidR="0080220E" w:rsidRPr="0080220E">
              <w:rPr>
                <w:noProof/>
                <w:webHidden/>
              </w:rPr>
              <w:fldChar w:fldCharType="end"/>
            </w:r>
          </w:hyperlink>
        </w:p>
        <w:p w14:paraId="7D56FA09" w14:textId="237BCBDC" w:rsidR="0080220E" w:rsidRPr="00DA353D" w:rsidRDefault="00C50866">
          <w:pPr>
            <w:pStyle w:val="TOC2"/>
            <w:rPr>
              <w:rFonts w:eastAsiaTheme="minorEastAsia" w:cstheme="minorBidi"/>
              <w:noProof/>
              <w:sz w:val="24"/>
              <w:szCs w:val="24"/>
            </w:rPr>
          </w:pPr>
          <w:hyperlink w:anchor="_Toc40196437" w:history="1">
            <w:r w:rsidR="0080220E" w:rsidRPr="00DA353D">
              <w:rPr>
                <w:rStyle w:val="Hyperlink"/>
                <w:rFonts w:ascii="Garamond" w:hAnsi="Garamond"/>
                <w:b w:val="0"/>
                <w:noProof/>
              </w:rPr>
              <w:t>D.</w:t>
            </w:r>
            <w:r w:rsidR="0080220E" w:rsidRPr="00DA353D">
              <w:rPr>
                <w:rFonts w:eastAsiaTheme="minorEastAsia" w:cstheme="minorBidi"/>
                <w:noProof/>
                <w:sz w:val="24"/>
                <w:szCs w:val="24"/>
              </w:rPr>
              <w:tab/>
            </w:r>
            <w:r w:rsidR="0080220E" w:rsidRPr="00DA353D">
              <w:rPr>
                <w:rStyle w:val="Hyperlink"/>
                <w:rFonts w:ascii="Garamond" w:hAnsi="Garamond"/>
                <w:b w:val="0"/>
                <w:noProof/>
              </w:rPr>
              <w:t>Definition of RECs Not Subject to Portfolio Content Category Classifications 1, 2 and 3 (PCC 0)</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_Toc40196437 \h </w:instrText>
            </w:r>
            <w:r w:rsidR="0080220E" w:rsidRPr="0080220E">
              <w:rPr>
                <w:noProof/>
                <w:webHidden/>
              </w:rPr>
            </w:r>
            <w:r w:rsidR="0080220E" w:rsidRPr="0080220E">
              <w:rPr>
                <w:noProof/>
                <w:webHidden/>
              </w:rPr>
              <w:fldChar w:fldCharType="separate"/>
            </w:r>
            <w:r w:rsidR="00EE5CDE">
              <w:rPr>
                <w:noProof/>
                <w:webHidden/>
              </w:rPr>
              <w:t>4</w:t>
            </w:r>
            <w:r w:rsidR="0080220E" w:rsidRPr="0080220E">
              <w:rPr>
                <w:noProof/>
                <w:webHidden/>
              </w:rPr>
              <w:fldChar w:fldCharType="end"/>
            </w:r>
          </w:hyperlink>
        </w:p>
        <w:p w14:paraId="0CC32BA0" w14:textId="32913F9B" w:rsidR="0080220E" w:rsidRPr="0080220E" w:rsidRDefault="00C50866">
          <w:pPr>
            <w:pStyle w:val="TOC1"/>
            <w:rPr>
              <w:rFonts w:eastAsiaTheme="minorEastAsia" w:cstheme="minorBidi"/>
              <w:noProof/>
            </w:rPr>
          </w:pPr>
          <w:hyperlink w:anchor="_Toc40196438" w:history="1">
            <w:r w:rsidR="0080220E" w:rsidRPr="00DA353D">
              <w:rPr>
                <w:rStyle w:val="Hyperlink"/>
                <w:rFonts w:ascii="Garamond" w:hAnsi="Garamond"/>
                <w:b w:val="0"/>
                <w:i w:val="0"/>
                <w:iCs w:val="0"/>
                <w:noProof/>
              </w:rPr>
              <w:t>III.</w:t>
            </w:r>
            <w:r w:rsidR="0080220E" w:rsidRPr="0080220E">
              <w:rPr>
                <w:rFonts w:eastAsiaTheme="minorEastAsia" w:cstheme="minorBidi"/>
                <w:noProof/>
              </w:rPr>
              <w:tab/>
            </w:r>
            <w:r w:rsidR="0080220E" w:rsidRPr="00DA353D">
              <w:rPr>
                <w:rStyle w:val="Hyperlink"/>
                <w:rFonts w:ascii="Garamond" w:hAnsi="Garamond"/>
                <w:b w:val="0"/>
                <w:i w:val="0"/>
                <w:iCs w:val="0"/>
                <w:noProof/>
              </w:rPr>
              <w:t>Description of Energy Division Requirements for Determining PCC Classification Claims and the Auditable Package</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_Toc40196438 \h </w:instrText>
            </w:r>
            <w:r w:rsidR="0080220E" w:rsidRPr="0080220E">
              <w:rPr>
                <w:noProof/>
                <w:webHidden/>
              </w:rPr>
            </w:r>
            <w:r w:rsidR="0080220E" w:rsidRPr="0080220E">
              <w:rPr>
                <w:noProof/>
                <w:webHidden/>
              </w:rPr>
              <w:fldChar w:fldCharType="separate"/>
            </w:r>
            <w:r w:rsidR="00EE5CDE">
              <w:rPr>
                <w:noProof/>
                <w:webHidden/>
              </w:rPr>
              <w:t>5</w:t>
            </w:r>
            <w:r w:rsidR="0080220E" w:rsidRPr="0080220E">
              <w:rPr>
                <w:noProof/>
                <w:webHidden/>
              </w:rPr>
              <w:fldChar w:fldCharType="end"/>
            </w:r>
          </w:hyperlink>
        </w:p>
        <w:p w14:paraId="366D5272" w14:textId="6A1351AA" w:rsidR="0080220E" w:rsidRPr="00DA353D" w:rsidRDefault="00C50866">
          <w:pPr>
            <w:pStyle w:val="TOC2"/>
            <w:rPr>
              <w:rFonts w:eastAsiaTheme="minorEastAsia" w:cstheme="minorBidi"/>
              <w:noProof/>
              <w:sz w:val="24"/>
              <w:szCs w:val="24"/>
            </w:rPr>
          </w:pPr>
          <w:hyperlink w:anchor="_Toc40196440" w:history="1">
            <w:r w:rsidR="0080220E" w:rsidRPr="00DA353D">
              <w:rPr>
                <w:rStyle w:val="Hyperlink"/>
                <w:rFonts w:ascii="Garamond" w:hAnsi="Garamond"/>
                <w:b w:val="0"/>
                <w:noProof/>
              </w:rPr>
              <w:t>A.</w:t>
            </w:r>
            <w:r w:rsidR="0080220E" w:rsidRPr="00DA353D">
              <w:rPr>
                <w:rFonts w:eastAsiaTheme="minorEastAsia" w:cstheme="minorBidi"/>
                <w:noProof/>
                <w:sz w:val="24"/>
                <w:szCs w:val="24"/>
              </w:rPr>
              <w:tab/>
            </w:r>
            <w:r w:rsidR="0080220E" w:rsidRPr="00DA353D">
              <w:rPr>
                <w:rStyle w:val="Hyperlink"/>
                <w:rFonts w:ascii="Garamond" w:hAnsi="Garamond"/>
                <w:b w:val="0"/>
                <w:noProof/>
              </w:rPr>
              <w:t>RPS Compliance Report, Contract Details Tab</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_Toc40196440 \h </w:instrText>
            </w:r>
            <w:r w:rsidR="0080220E" w:rsidRPr="0080220E">
              <w:rPr>
                <w:noProof/>
                <w:webHidden/>
              </w:rPr>
            </w:r>
            <w:r w:rsidR="0080220E" w:rsidRPr="0080220E">
              <w:rPr>
                <w:noProof/>
                <w:webHidden/>
              </w:rPr>
              <w:fldChar w:fldCharType="separate"/>
            </w:r>
            <w:r w:rsidR="00EE5CDE">
              <w:rPr>
                <w:noProof/>
                <w:webHidden/>
              </w:rPr>
              <w:t>5</w:t>
            </w:r>
            <w:r w:rsidR="0080220E" w:rsidRPr="0080220E">
              <w:rPr>
                <w:noProof/>
                <w:webHidden/>
              </w:rPr>
              <w:fldChar w:fldCharType="end"/>
            </w:r>
          </w:hyperlink>
        </w:p>
        <w:p w14:paraId="1B00B788" w14:textId="054E0ED3" w:rsidR="0080220E" w:rsidRPr="00DA353D" w:rsidRDefault="00C50866">
          <w:pPr>
            <w:pStyle w:val="TOC2"/>
            <w:rPr>
              <w:rFonts w:eastAsiaTheme="minorEastAsia" w:cstheme="minorBidi"/>
              <w:noProof/>
              <w:sz w:val="24"/>
              <w:szCs w:val="24"/>
            </w:rPr>
          </w:pPr>
          <w:hyperlink w:anchor="_Toc40196441" w:history="1">
            <w:r w:rsidR="0080220E" w:rsidRPr="00DA353D">
              <w:rPr>
                <w:rStyle w:val="Hyperlink"/>
                <w:rFonts w:ascii="Garamond" w:hAnsi="Garamond"/>
                <w:b w:val="0"/>
                <w:noProof/>
              </w:rPr>
              <w:t>B.</w:t>
            </w:r>
            <w:r w:rsidR="0080220E" w:rsidRPr="00DA353D">
              <w:rPr>
                <w:rFonts w:eastAsiaTheme="minorEastAsia" w:cstheme="minorBidi"/>
                <w:noProof/>
                <w:sz w:val="24"/>
                <w:szCs w:val="24"/>
              </w:rPr>
              <w:tab/>
            </w:r>
            <w:r w:rsidR="0080220E" w:rsidRPr="00DA353D">
              <w:rPr>
                <w:rStyle w:val="Hyperlink"/>
                <w:rFonts w:ascii="Garamond" w:hAnsi="Garamond"/>
                <w:b w:val="0"/>
                <w:noProof/>
              </w:rPr>
              <w:t>RPS Contract Submission Process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_Toc40196441 \h </w:instrText>
            </w:r>
            <w:r w:rsidR="0080220E" w:rsidRPr="0080220E">
              <w:rPr>
                <w:noProof/>
                <w:webHidden/>
              </w:rPr>
            </w:r>
            <w:r w:rsidR="0080220E" w:rsidRPr="0080220E">
              <w:rPr>
                <w:noProof/>
                <w:webHidden/>
              </w:rPr>
              <w:fldChar w:fldCharType="separate"/>
            </w:r>
            <w:r w:rsidR="00EE5CDE">
              <w:rPr>
                <w:noProof/>
                <w:webHidden/>
              </w:rPr>
              <w:t>9</w:t>
            </w:r>
            <w:r w:rsidR="0080220E" w:rsidRPr="0080220E">
              <w:rPr>
                <w:noProof/>
                <w:webHidden/>
              </w:rPr>
              <w:fldChar w:fldCharType="end"/>
            </w:r>
          </w:hyperlink>
        </w:p>
        <w:p w14:paraId="058DA743" w14:textId="1A484B27" w:rsidR="0080220E" w:rsidRPr="00DA353D" w:rsidRDefault="00C50866">
          <w:pPr>
            <w:pStyle w:val="TOC2"/>
            <w:rPr>
              <w:rFonts w:eastAsiaTheme="minorEastAsia" w:cstheme="minorBidi"/>
              <w:noProof/>
              <w:sz w:val="24"/>
              <w:szCs w:val="24"/>
            </w:rPr>
          </w:pPr>
          <w:hyperlink w:anchor="_Toc40196442" w:history="1">
            <w:r w:rsidR="0080220E" w:rsidRPr="00DA353D">
              <w:rPr>
                <w:rStyle w:val="Hyperlink"/>
                <w:rFonts w:ascii="Garamond" w:hAnsi="Garamond"/>
                <w:b w:val="0"/>
                <w:noProof/>
              </w:rPr>
              <w:t>C.</w:t>
            </w:r>
            <w:r w:rsidR="0080220E" w:rsidRPr="00DA353D">
              <w:rPr>
                <w:rFonts w:eastAsiaTheme="minorEastAsia" w:cstheme="minorBidi"/>
                <w:noProof/>
                <w:sz w:val="24"/>
                <w:szCs w:val="24"/>
              </w:rPr>
              <w:tab/>
            </w:r>
            <w:r w:rsidR="0080220E" w:rsidRPr="00DA353D">
              <w:rPr>
                <w:rStyle w:val="Hyperlink"/>
                <w:rFonts w:ascii="Garamond" w:hAnsi="Garamond"/>
                <w:b w:val="0"/>
                <w:noProof/>
              </w:rPr>
              <w:t>Requirements to Substantiate PCC 1 Claims from Facilities that Have a First Point of Interconnection within a California Balancing Authority</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_Toc40196442 \h </w:instrText>
            </w:r>
            <w:r w:rsidR="0080220E" w:rsidRPr="0080220E">
              <w:rPr>
                <w:noProof/>
                <w:webHidden/>
              </w:rPr>
            </w:r>
            <w:r w:rsidR="0080220E" w:rsidRPr="0080220E">
              <w:rPr>
                <w:noProof/>
                <w:webHidden/>
              </w:rPr>
              <w:fldChar w:fldCharType="separate"/>
            </w:r>
            <w:r w:rsidR="00EE5CDE">
              <w:rPr>
                <w:noProof/>
                <w:webHidden/>
              </w:rPr>
              <w:t>10</w:t>
            </w:r>
            <w:r w:rsidR="0080220E" w:rsidRPr="0080220E">
              <w:rPr>
                <w:noProof/>
                <w:webHidden/>
              </w:rPr>
              <w:fldChar w:fldCharType="end"/>
            </w:r>
          </w:hyperlink>
        </w:p>
        <w:p w14:paraId="26567A6D" w14:textId="05D1B131" w:rsidR="0080220E" w:rsidRPr="00DA353D" w:rsidRDefault="00C50866">
          <w:pPr>
            <w:pStyle w:val="TOC2"/>
            <w:rPr>
              <w:rFonts w:eastAsiaTheme="minorEastAsia" w:cstheme="minorBidi"/>
              <w:noProof/>
              <w:sz w:val="24"/>
              <w:szCs w:val="24"/>
            </w:rPr>
          </w:pPr>
          <w:hyperlink w:anchor="_Toc40196443" w:history="1">
            <w:r w:rsidR="0080220E" w:rsidRPr="00DA353D">
              <w:rPr>
                <w:rStyle w:val="Hyperlink"/>
                <w:rFonts w:ascii="Garamond" w:hAnsi="Garamond"/>
                <w:b w:val="0"/>
                <w:noProof/>
              </w:rPr>
              <w:t>D.</w:t>
            </w:r>
            <w:r w:rsidR="0080220E" w:rsidRPr="00DA353D">
              <w:rPr>
                <w:rFonts w:eastAsiaTheme="minorEastAsia" w:cstheme="minorBidi"/>
                <w:noProof/>
                <w:sz w:val="24"/>
                <w:szCs w:val="24"/>
              </w:rPr>
              <w:tab/>
            </w:r>
            <w:r w:rsidR="0080220E" w:rsidRPr="00DA353D">
              <w:rPr>
                <w:rStyle w:val="Hyperlink"/>
                <w:rFonts w:ascii="Garamond" w:hAnsi="Garamond"/>
                <w:b w:val="0"/>
                <w:noProof/>
              </w:rPr>
              <w:t>Additional Documentation Required to Substantiate PCC 1 Claims from Facilities that Have Pseudo Tie Agreements to Deliver Generation into a CBA</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_Toc40196443 \h </w:instrText>
            </w:r>
            <w:r w:rsidR="0080220E" w:rsidRPr="0080220E">
              <w:rPr>
                <w:noProof/>
                <w:webHidden/>
              </w:rPr>
            </w:r>
            <w:r w:rsidR="0080220E" w:rsidRPr="0080220E">
              <w:rPr>
                <w:noProof/>
                <w:webHidden/>
              </w:rPr>
              <w:fldChar w:fldCharType="separate"/>
            </w:r>
            <w:r w:rsidR="00EE5CDE">
              <w:rPr>
                <w:noProof/>
                <w:webHidden/>
              </w:rPr>
              <w:t>12</w:t>
            </w:r>
            <w:r w:rsidR="0080220E" w:rsidRPr="0080220E">
              <w:rPr>
                <w:noProof/>
                <w:webHidden/>
              </w:rPr>
              <w:fldChar w:fldCharType="end"/>
            </w:r>
          </w:hyperlink>
        </w:p>
        <w:p w14:paraId="5EA36D34" w14:textId="3339E954" w:rsidR="0080220E" w:rsidRPr="00DA353D" w:rsidRDefault="00C50866">
          <w:pPr>
            <w:pStyle w:val="TOC2"/>
            <w:rPr>
              <w:rFonts w:eastAsiaTheme="minorEastAsia" w:cstheme="minorBidi"/>
              <w:noProof/>
              <w:sz w:val="24"/>
              <w:szCs w:val="24"/>
            </w:rPr>
          </w:pPr>
          <w:hyperlink w:anchor="_Toc40196444" w:history="1">
            <w:r w:rsidR="0080220E" w:rsidRPr="00DA353D">
              <w:rPr>
                <w:rStyle w:val="Hyperlink"/>
                <w:rFonts w:ascii="Garamond" w:hAnsi="Garamond"/>
                <w:b w:val="0"/>
                <w:noProof/>
              </w:rPr>
              <w:t>E.</w:t>
            </w:r>
            <w:r w:rsidR="0080220E" w:rsidRPr="00DA353D">
              <w:rPr>
                <w:rFonts w:eastAsiaTheme="minorEastAsia" w:cstheme="minorBidi"/>
                <w:noProof/>
                <w:sz w:val="24"/>
                <w:szCs w:val="24"/>
              </w:rPr>
              <w:tab/>
            </w:r>
            <w:r w:rsidR="0080220E" w:rsidRPr="00DA353D">
              <w:rPr>
                <w:rStyle w:val="Hyperlink"/>
                <w:rFonts w:ascii="Garamond" w:hAnsi="Garamond"/>
                <w:b w:val="0"/>
                <w:noProof/>
              </w:rPr>
              <w:t>Requirements to Substantiate PCC 1 Claims for RPS-Eligible Electricity Dynamically Scheduled or Scheduled Into a CBA on an Hourly/Sub-hourly Basis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_Toc40196444 \h </w:instrText>
            </w:r>
            <w:r w:rsidR="0080220E" w:rsidRPr="0080220E">
              <w:rPr>
                <w:noProof/>
                <w:webHidden/>
              </w:rPr>
            </w:r>
            <w:r w:rsidR="0080220E" w:rsidRPr="0080220E">
              <w:rPr>
                <w:noProof/>
                <w:webHidden/>
              </w:rPr>
              <w:fldChar w:fldCharType="separate"/>
            </w:r>
            <w:r w:rsidR="00EE5CDE">
              <w:rPr>
                <w:noProof/>
                <w:webHidden/>
              </w:rPr>
              <w:t>14</w:t>
            </w:r>
            <w:r w:rsidR="0080220E" w:rsidRPr="0080220E">
              <w:rPr>
                <w:noProof/>
                <w:webHidden/>
              </w:rPr>
              <w:fldChar w:fldCharType="end"/>
            </w:r>
          </w:hyperlink>
        </w:p>
        <w:p w14:paraId="3EA15A47" w14:textId="6243C3CB" w:rsidR="0080220E" w:rsidRPr="00DA353D" w:rsidRDefault="00C50866">
          <w:pPr>
            <w:pStyle w:val="TOC2"/>
            <w:rPr>
              <w:rFonts w:eastAsiaTheme="minorEastAsia" w:cstheme="minorBidi"/>
              <w:noProof/>
              <w:sz w:val="24"/>
              <w:szCs w:val="24"/>
            </w:rPr>
          </w:pPr>
          <w:hyperlink w:anchor="_Toc40196445" w:history="1">
            <w:r w:rsidR="0080220E" w:rsidRPr="00DA353D">
              <w:rPr>
                <w:rStyle w:val="Hyperlink"/>
                <w:rFonts w:ascii="Garamond" w:hAnsi="Garamond"/>
                <w:b w:val="0"/>
                <w:noProof/>
              </w:rPr>
              <w:t>F.</w:t>
            </w:r>
            <w:r w:rsidR="0080220E" w:rsidRPr="00DA353D">
              <w:rPr>
                <w:rFonts w:eastAsiaTheme="minorEastAsia" w:cstheme="minorBidi"/>
                <w:noProof/>
                <w:sz w:val="24"/>
                <w:szCs w:val="24"/>
              </w:rPr>
              <w:tab/>
            </w:r>
            <w:r w:rsidR="0080220E" w:rsidRPr="00DA353D">
              <w:rPr>
                <w:rStyle w:val="Hyperlink"/>
                <w:rFonts w:ascii="Garamond" w:hAnsi="Garamond"/>
                <w:b w:val="0"/>
                <w:noProof/>
              </w:rPr>
              <w:t>Requirements to Substantiate PCC 2 Claims Using Substitute Energy to Firm and Shape</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_Toc40196445 \h </w:instrText>
            </w:r>
            <w:r w:rsidR="0080220E" w:rsidRPr="0080220E">
              <w:rPr>
                <w:noProof/>
                <w:webHidden/>
              </w:rPr>
            </w:r>
            <w:r w:rsidR="0080220E" w:rsidRPr="0080220E">
              <w:rPr>
                <w:noProof/>
                <w:webHidden/>
              </w:rPr>
              <w:fldChar w:fldCharType="separate"/>
            </w:r>
            <w:r w:rsidR="00EE5CDE">
              <w:rPr>
                <w:noProof/>
                <w:webHidden/>
              </w:rPr>
              <w:t>17</w:t>
            </w:r>
            <w:r w:rsidR="0080220E" w:rsidRPr="0080220E">
              <w:rPr>
                <w:noProof/>
                <w:webHidden/>
              </w:rPr>
              <w:fldChar w:fldCharType="end"/>
            </w:r>
          </w:hyperlink>
        </w:p>
        <w:p w14:paraId="4F112F55" w14:textId="4565F0F4" w:rsidR="0080220E" w:rsidRPr="00DA353D" w:rsidRDefault="00C50866">
          <w:pPr>
            <w:pStyle w:val="TOC2"/>
            <w:rPr>
              <w:rFonts w:eastAsiaTheme="minorEastAsia" w:cstheme="minorBidi"/>
              <w:noProof/>
              <w:sz w:val="24"/>
              <w:szCs w:val="24"/>
            </w:rPr>
          </w:pPr>
          <w:hyperlink w:anchor="_Toc40196446" w:history="1">
            <w:r w:rsidR="0080220E" w:rsidRPr="00DA353D">
              <w:rPr>
                <w:rStyle w:val="Hyperlink"/>
                <w:rFonts w:ascii="Garamond" w:hAnsi="Garamond"/>
                <w:b w:val="0"/>
                <w:noProof/>
              </w:rPr>
              <w:t>G.</w:t>
            </w:r>
            <w:r w:rsidR="0080220E" w:rsidRPr="00DA353D">
              <w:rPr>
                <w:rFonts w:eastAsiaTheme="minorEastAsia" w:cstheme="minorBidi"/>
                <w:noProof/>
                <w:sz w:val="24"/>
                <w:szCs w:val="24"/>
              </w:rPr>
              <w:tab/>
            </w:r>
            <w:r w:rsidR="0080220E" w:rsidRPr="00DA353D">
              <w:rPr>
                <w:rStyle w:val="Hyperlink"/>
                <w:rFonts w:ascii="Garamond" w:hAnsi="Garamond"/>
                <w:b w:val="0"/>
                <w:noProof/>
              </w:rPr>
              <w:t>Requirements to Substantiate PCC 3 Claims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_Toc40196446 \h </w:instrText>
            </w:r>
            <w:r w:rsidR="0080220E" w:rsidRPr="0080220E">
              <w:rPr>
                <w:noProof/>
                <w:webHidden/>
              </w:rPr>
            </w:r>
            <w:r w:rsidR="0080220E" w:rsidRPr="0080220E">
              <w:rPr>
                <w:noProof/>
                <w:webHidden/>
              </w:rPr>
              <w:fldChar w:fldCharType="separate"/>
            </w:r>
            <w:r w:rsidR="00EE5CDE">
              <w:rPr>
                <w:noProof/>
                <w:webHidden/>
              </w:rPr>
              <w:t>18</w:t>
            </w:r>
            <w:r w:rsidR="0080220E" w:rsidRPr="0080220E">
              <w:rPr>
                <w:noProof/>
                <w:webHidden/>
              </w:rPr>
              <w:fldChar w:fldCharType="end"/>
            </w:r>
          </w:hyperlink>
        </w:p>
        <w:p w14:paraId="6151AC0A" w14:textId="1966FF0A" w:rsidR="0080220E" w:rsidRPr="00DA353D" w:rsidRDefault="00C50866">
          <w:pPr>
            <w:pStyle w:val="TOC2"/>
            <w:rPr>
              <w:rFonts w:eastAsiaTheme="minorEastAsia" w:cstheme="minorBidi"/>
              <w:noProof/>
              <w:sz w:val="24"/>
              <w:szCs w:val="24"/>
            </w:rPr>
          </w:pPr>
          <w:hyperlink w:anchor="_Toc40196447" w:history="1">
            <w:r w:rsidR="0080220E" w:rsidRPr="00DA353D">
              <w:rPr>
                <w:rStyle w:val="Hyperlink"/>
                <w:rFonts w:ascii="Garamond" w:hAnsi="Garamond"/>
                <w:b w:val="0"/>
                <w:noProof/>
              </w:rPr>
              <w:t>H.</w:t>
            </w:r>
            <w:r w:rsidR="0080220E" w:rsidRPr="00DA353D">
              <w:rPr>
                <w:rFonts w:eastAsiaTheme="minorEastAsia" w:cstheme="minorBidi"/>
                <w:noProof/>
                <w:sz w:val="24"/>
                <w:szCs w:val="24"/>
              </w:rPr>
              <w:tab/>
            </w:r>
            <w:r w:rsidR="0080220E" w:rsidRPr="00DA353D">
              <w:rPr>
                <w:rStyle w:val="Hyperlink"/>
                <w:rFonts w:ascii="Garamond" w:hAnsi="Garamond"/>
                <w:b w:val="0"/>
                <w:noProof/>
              </w:rPr>
              <w:t>Requirements to Substantiate PCC 0 Claims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_Toc40196447 \h </w:instrText>
            </w:r>
            <w:r w:rsidR="0080220E" w:rsidRPr="0080220E">
              <w:rPr>
                <w:noProof/>
                <w:webHidden/>
              </w:rPr>
            </w:r>
            <w:r w:rsidR="0080220E" w:rsidRPr="0080220E">
              <w:rPr>
                <w:noProof/>
                <w:webHidden/>
              </w:rPr>
              <w:fldChar w:fldCharType="separate"/>
            </w:r>
            <w:r w:rsidR="00EE5CDE">
              <w:rPr>
                <w:noProof/>
                <w:webHidden/>
              </w:rPr>
              <w:t>19</w:t>
            </w:r>
            <w:r w:rsidR="0080220E" w:rsidRPr="0080220E">
              <w:rPr>
                <w:noProof/>
                <w:webHidden/>
              </w:rPr>
              <w:fldChar w:fldCharType="end"/>
            </w:r>
          </w:hyperlink>
        </w:p>
        <w:p w14:paraId="1541E582" w14:textId="1DDBE1A8" w:rsidR="0080220E" w:rsidRPr="0080220E" w:rsidRDefault="00C50866">
          <w:pPr>
            <w:pStyle w:val="TOC1"/>
            <w:rPr>
              <w:rFonts w:eastAsiaTheme="minorEastAsia" w:cstheme="minorBidi"/>
              <w:noProof/>
            </w:rPr>
          </w:pPr>
          <w:hyperlink w:anchor="_Toc40196448" w:history="1">
            <w:r w:rsidR="0080220E" w:rsidRPr="00DA353D">
              <w:rPr>
                <w:rStyle w:val="Hyperlink"/>
                <w:rFonts w:ascii="Garamond" w:hAnsi="Garamond"/>
                <w:b w:val="0"/>
                <w:i w:val="0"/>
                <w:iCs w:val="0"/>
                <w:noProof/>
              </w:rPr>
              <w:t>IV.</w:t>
            </w:r>
            <w:r w:rsidR="0080220E" w:rsidRPr="0080220E">
              <w:rPr>
                <w:rFonts w:eastAsiaTheme="minorEastAsia" w:cstheme="minorBidi"/>
                <w:noProof/>
              </w:rPr>
              <w:tab/>
            </w:r>
            <w:r w:rsidR="0080220E" w:rsidRPr="00DA353D">
              <w:rPr>
                <w:rStyle w:val="Hyperlink"/>
                <w:rFonts w:ascii="Garamond" w:hAnsi="Garamond"/>
                <w:b w:val="0"/>
                <w:i w:val="0"/>
                <w:iCs w:val="0"/>
                <w:noProof/>
              </w:rPr>
              <w:t>Timing for Retail Sellers to Submit Documentation for PCC Classification Claims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_Toc40196448 \h </w:instrText>
            </w:r>
            <w:r w:rsidR="0080220E" w:rsidRPr="0080220E">
              <w:rPr>
                <w:noProof/>
                <w:webHidden/>
              </w:rPr>
            </w:r>
            <w:r w:rsidR="0080220E" w:rsidRPr="0080220E">
              <w:rPr>
                <w:noProof/>
                <w:webHidden/>
              </w:rPr>
              <w:fldChar w:fldCharType="separate"/>
            </w:r>
            <w:r w:rsidR="00EE5CDE">
              <w:rPr>
                <w:noProof/>
                <w:webHidden/>
              </w:rPr>
              <w:t>20</w:t>
            </w:r>
            <w:r w:rsidR="0080220E" w:rsidRPr="0080220E">
              <w:rPr>
                <w:noProof/>
                <w:webHidden/>
              </w:rPr>
              <w:fldChar w:fldCharType="end"/>
            </w:r>
          </w:hyperlink>
        </w:p>
        <w:p w14:paraId="7243027A" w14:textId="71B59CE5" w:rsidR="0080220E" w:rsidRPr="0080220E" w:rsidRDefault="0080220E" w:rsidP="0080220E">
          <w:pPr>
            <w:pStyle w:val="TOC1"/>
            <w:rPr>
              <w:rFonts w:eastAsiaTheme="minorEastAsia" w:cstheme="minorBidi"/>
              <w:noProof/>
            </w:rPr>
          </w:pPr>
          <w:r w:rsidRPr="0080220E">
            <w:rPr>
              <w:rStyle w:val="Hyperlink"/>
              <w:rFonts w:ascii="Garamond" w:hAnsi="Garamond"/>
              <w:b w:val="0"/>
              <w:i w:val="0"/>
              <w:iCs w:val="0"/>
              <w:noProof/>
            </w:rPr>
            <w:t>V.</w:t>
          </w:r>
          <w:hyperlink w:anchor="_Toc40196449" w:history="1">
            <w:r w:rsidRPr="0080220E">
              <w:rPr>
                <w:rFonts w:eastAsiaTheme="minorEastAsia" w:cstheme="minorBidi"/>
                <w:noProof/>
              </w:rPr>
              <w:tab/>
            </w:r>
            <w:r w:rsidRPr="00DA353D">
              <w:rPr>
                <w:rStyle w:val="Hyperlink"/>
                <w:rFonts w:ascii="Garamond" w:hAnsi="Garamond"/>
                <w:b w:val="0"/>
                <w:i w:val="0"/>
                <w:iCs w:val="0"/>
                <w:noProof/>
              </w:rPr>
              <w:t>Appendix A: Matrix of Revisions Incorporated in the PCC Classification Methodology</w:t>
            </w:r>
            <w:r w:rsidRPr="0080220E">
              <w:rPr>
                <w:noProof/>
                <w:webHidden/>
              </w:rPr>
              <w:tab/>
            </w:r>
            <w:r w:rsidRPr="0080220E">
              <w:rPr>
                <w:noProof/>
                <w:webHidden/>
              </w:rPr>
              <w:fldChar w:fldCharType="begin"/>
            </w:r>
            <w:r w:rsidRPr="0080220E">
              <w:rPr>
                <w:noProof/>
                <w:webHidden/>
              </w:rPr>
              <w:instrText xml:space="preserve"> PAGEREF _Toc40196449 \h </w:instrText>
            </w:r>
            <w:r w:rsidRPr="0080220E">
              <w:rPr>
                <w:noProof/>
                <w:webHidden/>
              </w:rPr>
            </w:r>
            <w:r w:rsidRPr="0080220E">
              <w:rPr>
                <w:noProof/>
                <w:webHidden/>
              </w:rPr>
              <w:fldChar w:fldCharType="separate"/>
            </w:r>
            <w:r w:rsidR="00EE5CDE">
              <w:rPr>
                <w:noProof/>
                <w:webHidden/>
              </w:rPr>
              <w:t>23</w:t>
            </w:r>
            <w:r w:rsidRPr="0080220E">
              <w:rPr>
                <w:noProof/>
                <w:webHidden/>
              </w:rPr>
              <w:fldChar w:fldCharType="end"/>
            </w:r>
          </w:hyperlink>
        </w:p>
        <w:p w14:paraId="0FC2FA5C" w14:textId="6584EBCF" w:rsidR="0080220E" w:rsidRPr="0080220E" w:rsidRDefault="00C50866">
          <w:pPr>
            <w:pStyle w:val="TOC1"/>
            <w:rPr>
              <w:rFonts w:eastAsiaTheme="minorEastAsia" w:cstheme="minorBidi"/>
              <w:noProof/>
            </w:rPr>
          </w:pPr>
          <w:hyperlink w:anchor="_Toc40196458" w:history="1">
            <w:r w:rsidR="0080220E" w:rsidRPr="00DA353D">
              <w:rPr>
                <w:rStyle w:val="Hyperlink"/>
                <w:rFonts w:ascii="Garamond" w:hAnsi="Garamond"/>
                <w:b w:val="0"/>
                <w:i w:val="0"/>
                <w:iCs w:val="0"/>
                <w:noProof/>
              </w:rPr>
              <w:t>VI.</w:t>
            </w:r>
            <w:r w:rsidR="0080220E" w:rsidRPr="0080220E">
              <w:rPr>
                <w:rFonts w:eastAsiaTheme="minorEastAsia" w:cstheme="minorBidi"/>
                <w:noProof/>
              </w:rPr>
              <w:tab/>
            </w:r>
            <w:r w:rsidR="0080220E" w:rsidRPr="00DA353D">
              <w:rPr>
                <w:rStyle w:val="Hyperlink"/>
                <w:rFonts w:ascii="Garamond" w:hAnsi="Garamond"/>
                <w:b w:val="0"/>
                <w:i w:val="0"/>
                <w:iCs w:val="0"/>
                <w:noProof/>
              </w:rPr>
              <w:t>Appendix B: Matrix of Revisions Incorporated into the RPS Compliance Report template</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_Toc40196458 \h </w:instrText>
            </w:r>
            <w:r w:rsidR="0080220E" w:rsidRPr="0080220E">
              <w:rPr>
                <w:noProof/>
                <w:webHidden/>
              </w:rPr>
            </w:r>
            <w:r w:rsidR="0080220E" w:rsidRPr="0080220E">
              <w:rPr>
                <w:noProof/>
                <w:webHidden/>
              </w:rPr>
              <w:fldChar w:fldCharType="separate"/>
            </w:r>
            <w:r w:rsidR="00EE5CDE">
              <w:rPr>
                <w:noProof/>
                <w:webHidden/>
              </w:rPr>
              <w:t>28</w:t>
            </w:r>
            <w:r w:rsidR="0080220E" w:rsidRPr="0080220E">
              <w:rPr>
                <w:noProof/>
                <w:webHidden/>
              </w:rPr>
              <w:fldChar w:fldCharType="end"/>
            </w:r>
          </w:hyperlink>
        </w:p>
        <w:p w14:paraId="460B4E99" w14:textId="03F357E4" w:rsidR="0080220E" w:rsidRPr="0080220E" w:rsidRDefault="00C50866">
          <w:pPr>
            <w:pStyle w:val="TOC1"/>
            <w:rPr>
              <w:rFonts w:eastAsiaTheme="minorEastAsia" w:cstheme="minorBidi"/>
              <w:noProof/>
            </w:rPr>
          </w:pPr>
          <w:hyperlink w:anchor="_Toc40196459" w:history="1">
            <w:r w:rsidR="0080220E" w:rsidRPr="00DA353D">
              <w:rPr>
                <w:rStyle w:val="Hyperlink"/>
                <w:rFonts w:ascii="Garamond" w:hAnsi="Garamond"/>
                <w:b w:val="0"/>
                <w:i w:val="0"/>
                <w:iCs w:val="0"/>
                <w:noProof/>
              </w:rPr>
              <w:t>VII.</w:t>
            </w:r>
            <w:r w:rsidR="0080220E" w:rsidRPr="0080220E">
              <w:rPr>
                <w:rFonts w:eastAsiaTheme="minorEastAsia" w:cstheme="minorBidi"/>
                <w:noProof/>
              </w:rPr>
              <w:tab/>
            </w:r>
            <w:r w:rsidR="0080220E" w:rsidRPr="00DA353D">
              <w:rPr>
                <w:rStyle w:val="Hyperlink"/>
                <w:rFonts w:ascii="Garamond" w:hAnsi="Garamond"/>
                <w:b w:val="0"/>
                <w:i w:val="0"/>
                <w:iCs w:val="0"/>
                <w:noProof/>
              </w:rPr>
              <w:t>Appendix C: Additional Information About Dynamic Transfers</w:t>
            </w:r>
            <w:r w:rsidR="0080220E" w:rsidRPr="0080220E">
              <w:rPr>
                <w:noProof/>
                <w:webHidden/>
              </w:rPr>
              <w:tab/>
            </w:r>
            <w:r w:rsidR="0080220E" w:rsidRPr="0080220E">
              <w:rPr>
                <w:noProof/>
                <w:webHidden/>
              </w:rPr>
              <w:fldChar w:fldCharType="begin"/>
            </w:r>
            <w:r w:rsidR="0080220E" w:rsidRPr="0080220E">
              <w:rPr>
                <w:noProof/>
                <w:webHidden/>
              </w:rPr>
              <w:instrText xml:space="preserve"> PAGEREF _Toc40196459 \h </w:instrText>
            </w:r>
            <w:r w:rsidR="0080220E" w:rsidRPr="0080220E">
              <w:rPr>
                <w:noProof/>
                <w:webHidden/>
              </w:rPr>
            </w:r>
            <w:r w:rsidR="0080220E" w:rsidRPr="0080220E">
              <w:rPr>
                <w:noProof/>
                <w:webHidden/>
              </w:rPr>
              <w:fldChar w:fldCharType="separate"/>
            </w:r>
            <w:r w:rsidR="00EE5CDE">
              <w:rPr>
                <w:noProof/>
                <w:webHidden/>
              </w:rPr>
              <w:t>33</w:t>
            </w:r>
            <w:r w:rsidR="0080220E" w:rsidRPr="0080220E">
              <w:rPr>
                <w:noProof/>
                <w:webHidden/>
              </w:rPr>
              <w:fldChar w:fldCharType="end"/>
            </w:r>
          </w:hyperlink>
        </w:p>
        <w:p w14:paraId="624B7D6E" w14:textId="55BEEC62" w:rsidR="00C02FD5" w:rsidRPr="00DA353D" w:rsidRDefault="00C02FD5">
          <w:pPr>
            <w:rPr>
              <w:rFonts w:ascii="Garamond" w:hAnsi="Garamond"/>
              <w:bCs/>
            </w:rPr>
          </w:pPr>
          <w:r w:rsidRPr="00DA353D">
            <w:rPr>
              <w:rFonts w:ascii="Garamond" w:hAnsi="Garamond"/>
              <w:bCs/>
              <w:noProof/>
            </w:rPr>
            <w:fldChar w:fldCharType="end"/>
          </w:r>
        </w:p>
      </w:sdtContent>
    </w:sdt>
    <w:p w14:paraId="58070362" w14:textId="77777777" w:rsidR="00C25DC3" w:rsidRPr="0080220E" w:rsidRDefault="00C25DC3" w:rsidP="00C25DC3">
      <w:pPr>
        <w:rPr>
          <w:rFonts w:ascii="Garamond" w:hAnsi="Garamond"/>
          <w:bCs/>
          <w:sz w:val="24"/>
        </w:rPr>
        <w:sectPr w:rsidR="00C25DC3" w:rsidRPr="0080220E" w:rsidSect="00515FA6">
          <w:footerReference w:type="default" r:id="rId12"/>
          <w:pgSz w:w="12240" w:h="15840"/>
          <w:pgMar w:top="1440" w:right="1440" w:bottom="1440" w:left="1440" w:header="720" w:footer="720" w:gutter="0"/>
          <w:pgNumType w:fmt="lowerRoman" w:start="1"/>
          <w:cols w:space="720"/>
          <w:docGrid w:linePitch="360"/>
        </w:sectPr>
      </w:pPr>
    </w:p>
    <w:p w14:paraId="2019BEB7" w14:textId="77777777" w:rsidR="00C25DC3" w:rsidRPr="00F622FF" w:rsidRDefault="00C25DC3" w:rsidP="00DA353D">
      <w:pPr>
        <w:pStyle w:val="Heading1"/>
      </w:pPr>
      <w:bookmarkStart w:id="8" w:name="_Toc40196431"/>
      <w:r w:rsidRPr="00F622FF">
        <w:lastRenderedPageBreak/>
        <w:t>Executive Summary</w:t>
      </w:r>
      <w:bookmarkEnd w:id="8"/>
    </w:p>
    <w:p w14:paraId="5D963EF6" w14:textId="4420CFD9" w:rsidR="006741F2" w:rsidRPr="0080220E" w:rsidRDefault="00C25DC3" w:rsidP="00C25DC3">
      <w:pPr>
        <w:spacing w:after="120"/>
        <w:rPr>
          <w:rFonts w:ascii="Garamond" w:hAnsi="Garamond"/>
          <w:bCs/>
          <w:sz w:val="24"/>
        </w:rPr>
      </w:pPr>
      <w:r w:rsidRPr="0080220E">
        <w:rPr>
          <w:rFonts w:ascii="Garamond" w:hAnsi="Garamond"/>
          <w:bCs/>
          <w:sz w:val="24"/>
        </w:rPr>
        <w:t>Th</w:t>
      </w:r>
      <w:r w:rsidR="00D56701" w:rsidRPr="0080220E">
        <w:rPr>
          <w:rFonts w:ascii="Garamond" w:hAnsi="Garamond"/>
          <w:bCs/>
          <w:sz w:val="24"/>
        </w:rPr>
        <w:t>e Renewables Portfolio Standard (RPS)</w:t>
      </w:r>
      <w:r w:rsidRPr="0080220E">
        <w:rPr>
          <w:rFonts w:ascii="Garamond" w:hAnsi="Garamond"/>
          <w:bCs/>
          <w:sz w:val="24"/>
        </w:rPr>
        <w:t xml:space="preserve"> Portfolio Content Category</w:t>
      </w:r>
      <w:r w:rsidR="00D56701" w:rsidRPr="0080220E">
        <w:rPr>
          <w:rFonts w:ascii="Garamond" w:hAnsi="Garamond"/>
          <w:bCs/>
          <w:sz w:val="24"/>
        </w:rPr>
        <w:t xml:space="preserve"> (PCC) </w:t>
      </w:r>
      <w:r w:rsidRPr="0080220E">
        <w:rPr>
          <w:rFonts w:ascii="Garamond" w:hAnsi="Garamond"/>
          <w:bCs/>
          <w:sz w:val="24"/>
        </w:rPr>
        <w:t>Classification Review Handbook provides retail sellers guidance on what information is required to substantiate each</w:t>
      </w:r>
      <w:r w:rsidR="00D56701" w:rsidRPr="0080220E">
        <w:rPr>
          <w:rFonts w:ascii="Garamond" w:hAnsi="Garamond"/>
          <w:bCs/>
          <w:sz w:val="24"/>
        </w:rPr>
        <w:t xml:space="preserve"> </w:t>
      </w:r>
      <w:r w:rsidRPr="0080220E">
        <w:rPr>
          <w:rFonts w:ascii="Garamond" w:hAnsi="Garamond"/>
          <w:bCs/>
          <w:sz w:val="24"/>
        </w:rPr>
        <w:t>PCC classification implemented through</w:t>
      </w:r>
      <w:r w:rsidR="006741F2" w:rsidRPr="0080220E">
        <w:rPr>
          <w:rFonts w:ascii="Garamond" w:hAnsi="Garamond"/>
          <w:bCs/>
          <w:sz w:val="24"/>
        </w:rPr>
        <w:t xml:space="preserve"> CPUC Decision</w:t>
      </w:r>
      <w:r w:rsidRPr="0080220E">
        <w:rPr>
          <w:rFonts w:ascii="Garamond" w:hAnsi="Garamond"/>
          <w:bCs/>
          <w:sz w:val="24"/>
        </w:rPr>
        <w:t xml:space="preserve"> </w:t>
      </w:r>
      <w:r w:rsidR="006741F2" w:rsidRPr="0080220E">
        <w:rPr>
          <w:rFonts w:ascii="Garamond" w:hAnsi="Garamond"/>
          <w:bCs/>
          <w:sz w:val="24"/>
        </w:rPr>
        <w:t>(</w:t>
      </w:r>
      <w:r w:rsidRPr="0080220E">
        <w:rPr>
          <w:rFonts w:ascii="Garamond" w:hAnsi="Garamond"/>
          <w:bCs/>
          <w:sz w:val="24"/>
        </w:rPr>
        <w:t>D</w:t>
      </w:r>
      <w:r w:rsidR="006741F2" w:rsidRPr="0080220E">
        <w:rPr>
          <w:rFonts w:ascii="Garamond" w:hAnsi="Garamond"/>
          <w:bCs/>
          <w:sz w:val="24"/>
        </w:rPr>
        <w:t>)</w:t>
      </w:r>
      <w:r w:rsidRPr="0080220E">
        <w:rPr>
          <w:rFonts w:ascii="Garamond" w:hAnsi="Garamond"/>
          <w:bCs/>
          <w:sz w:val="24"/>
        </w:rPr>
        <w:t>.11-12-052.</w:t>
      </w:r>
    </w:p>
    <w:p w14:paraId="16B62C7A" w14:textId="7DEF24CE" w:rsidR="00C25DC3" w:rsidRPr="0080220E" w:rsidRDefault="00C25DC3" w:rsidP="00C25DC3">
      <w:pPr>
        <w:spacing w:after="120"/>
        <w:rPr>
          <w:rFonts w:ascii="Garamond" w:hAnsi="Garamond"/>
          <w:bCs/>
          <w:sz w:val="24"/>
        </w:rPr>
      </w:pPr>
      <w:r w:rsidRPr="0080220E">
        <w:rPr>
          <w:rFonts w:ascii="Garamond" w:hAnsi="Garamond"/>
          <w:bCs/>
          <w:sz w:val="24"/>
        </w:rPr>
        <w:t>Energy Division staff will explain and update, where appropriate, the reporting spreadsheets that are used to substantiate retail seller PCC classification claims.  Finally, Energy Division staff will provide process diagrams to illustrate the flow of information in Energy Division staff’s review process.</w:t>
      </w:r>
    </w:p>
    <w:p w14:paraId="65D50E6C" w14:textId="77777777" w:rsidR="00C25DC3" w:rsidRPr="0080220E" w:rsidRDefault="00C25DC3" w:rsidP="00C25DC3">
      <w:pPr>
        <w:spacing w:after="120"/>
        <w:rPr>
          <w:rFonts w:ascii="Garamond" w:hAnsi="Garamond" w:cs="Arial"/>
          <w:bCs/>
          <w:sz w:val="24"/>
        </w:rPr>
      </w:pPr>
      <w:r w:rsidRPr="0080220E">
        <w:rPr>
          <w:rFonts w:ascii="Garamond" w:hAnsi="Garamond" w:cs="Arial"/>
          <w:bCs/>
          <w:sz w:val="24"/>
        </w:rPr>
        <w:t xml:space="preserve">This Energy Division </w:t>
      </w:r>
      <w:r w:rsidRPr="0080220E">
        <w:rPr>
          <w:rFonts w:ascii="Garamond" w:hAnsi="Garamond"/>
          <w:bCs/>
          <w:sz w:val="24"/>
        </w:rPr>
        <w:t>Portfolio Content Category Classification Review Handbook</w:t>
      </w:r>
      <w:r w:rsidRPr="0080220E">
        <w:rPr>
          <w:rFonts w:ascii="Garamond" w:hAnsi="Garamond" w:cs="Arial"/>
          <w:bCs/>
          <w:sz w:val="24"/>
        </w:rPr>
        <w:t xml:space="preserve"> is organized into two main sections:</w:t>
      </w:r>
    </w:p>
    <w:p w14:paraId="399737BA" w14:textId="6863C0EA" w:rsidR="00C25DC3" w:rsidRPr="0080220E" w:rsidRDefault="00C25DC3" w:rsidP="00C25DC3">
      <w:pPr>
        <w:numPr>
          <w:ilvl w:val="0"/>
          <w:numId w:val="29"/>
        </w:numPr>
        <w:spacing w:after="120"/>
        <w:rPr>
          <w:rFonts w:ascii="Garamond" w:hAnsi="Garamond" w:cs="Arial"/>
          <w:bCs/>
          <w:sz w:val="24"/>
        </w:rPr>
      </w:pPr>
      <w:r w:rsidRPr="0080220E">
        <w:rPr>
          <w:rFonts w:ascii="Garamond" w:hAnsi="Garamond" w:cs="Arial"/>
          <w:bCs/>
          <w:sz w:val="24"/>
        </w:rPr>
        <w:t xml:space="preserve">Descriptions of PCC </w:t>
      </w:r>
      <w:r w:rsidR="006741F2" w:rsidRPr="0080220E">
        <w:rPr>
          <w:rFonts w:ascii="Garamond" w:hAnsi="Garamond" w:cs="Arial"/>
          <w:bCs/>
          <w:sz w:val="24"/>
        </w:rPr>
        <w:t>C</w:t>
      </w:r>
      <w:r w:rsidRPr="0080220E">
        <w:rPr>
          <w:rFonts w:ascii="Garamond" w:hAnsi="Garamond" w:cs="Arial"/>
          <w:bCs/>
          <w:sz w:val="24"/>
        </w:rPr>
        <w:t>lassifications</w:t>
      </w:r>
      <w:r w:rsidR="006741F2" w:rsidRPr="0080220E">
        <w:rPr>
          <w:rFonts w:ascii="Garamond" w:hAnsi="Garamond" w:cs="Arial"/>
          <w:bCs/>
          <w:sz w:val="24"/>
        </w:rPr>
        <w:t>:</w:t>
      </w:r>
      <w:r w:rsidRPr="0080220E">
        <w:rPr>
          <w:rFonts w:ascii="Garamond" w:hAnsi="Garamond" w:cs="Arial"/>
          <w:bCs/>
          <w:sz w:val="24"/>
        </w:rPr>
        <w:t xml:space="preserve"> </w:t>
      </w:r>
      <w:r w:rsidR="006741F2" w:rsidRPr="0080220E">
        <w:rPr>
          <w:rFonts w:ascii="Garamond" w:hAnsi="Garamond" w:cs="Arial"/>
          <w:bCs/>
          <w:sz w:val="24"/>
        </w:rPr>
        <w:t>O</w:t>
      </w:r>
      <w:r w:rsidRPr="0080220E">
        <w:rPr>
          <w:rFonts w:ascii="Garamond" w:hAnsi="Garamond" w:cs="Arial"/>
          <w:bCs/>
          <w:sz w:val="24"/>
        </w:rPr>
        <w:t xml:space="preserve">utlines the necessary criteria </w:t>
      </w:r>
      <w:r w:rsidR="00840E4B">
        <w:rPr>
          <w:rFonts w:ascii="Garamond" w:hAnsi="Garamond" w:cs="Arial"/>
          <w:bCs/>
          <w:sz w:val="24"/>
        </w:rPr>
        <w:t xml:space="preserve">that must be met </w:t>
      </w:r>
      <w:r w:rsidRPr="0080220E">
        <w:rPr>
          <w:rFonts w:ascii="Garamond" w:hAnsi="Garamond" w:cs="Arial"/>
          <w:bCs/>
          <w:sz w:val="24"/>
        </w:rPr>
        <w:t xml:space="preserve">for </w:t>
      </w:r>
      <w:r w:rsidR="006741F2" w:rsidRPr="0080220E">
        <w:rPr>
          <w:rFonts w:ascii="Garamond" w:hAnsi="Garamond" w:cs="Arial"/>
          <w:bCs/>
          <w:sz w:val="24"/>
        </w:rPr>
        <w:t xml:space="preserve">RPS procurement to be claimed as one of the </w:t>
      </w:r>
      <w:r w:rsidRPr="0080220E">
        <w:rPr>
          <w:rFonts w:ascii="Garamond" w:hAnsi="Garamond" w:cs="Arial"/>
          <w:bCs/>
          <w:sz w:val="24"/>
        </w:rPr>
        <w:t>PCC classifications</w:t>
      </w:r>
      <w:r w:rsidR="006741F2" w:rsidRPr="0080220E">
        <w:rPr>
          <w:rFonts w:ascii="Garamond" w:hAnsi="Garamond" w:cs="Arial"/>
          <w:bCs/>
          <w:sz w:val="24"/>
        </w:rPr>
        <w:t>,</w:t>
      </w:r>
      <w:r w:rsidRPr="0080220E">
        <w:rPr>
          <w:rFonts w:ascii="Garamond" w:hAnsi="Garamond" w:cs="Arial"/>
          <w:bCs/>
          <w:sz w:val="24"/>
        </w:rPr>
        <w:t xml:space="preserve"> as defined and implemented by D.11-12-052.</w:t>
      </w:r>
    </w:p>
    <w:p w14:paraId="7941A306" w14:textId="6FE3BFB9" w:rsidR="00C25DC3" w:rsidRPr="0080220E" w:rsidRDefault="00C25DC3" w:rsidP="00C25DC3">
      <w:pPr>
        <w:numPr>
          <w:ilvl w:val="0"/>
          <w:numId w:val="29"/>
        </w:numPr>
        <w:spacing w:after="120"/>
        <w:rPr>
          <w:rFonts w:ascii="Garamond" w:hAnsi="Garamond" w:cs="Arial"/>
          <w:bCs/>
          <w:sz w:val="24"/>
        </w:rPr>
      </w:pPr>
      <w:r w:rsidRPr="0080220E">
        <w:rPr>
          <w:rFonts w:ascii="Garamond" w:hAnsi="Garamond" w:cs="Arial"/>
          <w:bCs/>
          <w:sz w:val="24"/>
        </w:rPr>
        <w:t>Energy Division requirements for PCC claims</w:t>
      </w:r>
      <w:r w:rsidR="006741F2" w:rsidRPr="0080220E">
        <w:rPr>
          <w:rFonts w:ascii="Garamond" w:hAnsi="Garamond" w:cs="Arial"/>
          <w:bCs/>
          <w:sz w:val="24"/>
        </w:rPr>
        <w:t>:</w:t>
      </w:r>
      <w:r w:rsidRPr="0080220E">
        <w:rPr>
          <w:rFonts w:ascii="Garamond" w:hAnsi="Garamond" w:cs="Arial"/>
          <w:bCs/>
          <w:sz w:val="24"/>
        </w:rPr>
        <w:t xml:space="preserve"> </w:t>
      </w:r>
      <w:r w:rsidR="006741F2" w:rsidRPr="0080220E">
        <w:rPr>
          <w:rFonts w:ascii="Garamond" w:hAnsi="Garamond" w:cs="Arial"/>
          <w:bCs/>
          <w:sz w:val="24"/>
        </w:rPr>
        <w:t>D</w:t>
      </w:r>
      <w:r w:rsidRPr="0080220E">
        <w:rPr>
          <w:rFonts w:ascii="Garamond" w:hAnsi="Garamond" w:cs="Arial"/>
          <w:bCs/>
          <w:sz w:val="24"/>
        </w:rPr>
        <w:t xml:space="preserve">escribes the documentation required for retail sellers to demonstrate PCC classifications of RPS renewable energy credits (RECs). </w:t>
      </w:r>
      <w:r w:rsidR="006741F2" w:rsidRPr="0080220E">
        <w:rPr>
          <w:rFonts w:ascii="Garamond" w:hAnsi="Garamond" w:cs="Arial"/>
          <w:bCs/>
          <w:sz w:val="24"/>
        </w:rPr>
        <w:t>A</w:t>
      </w:r>
      <w:r w:rsidRPr="0080220E">
        <w:rPr>
          <w:rFonts w:ascii="Garamond" w:hAnsi="Garamond" w:cs="Arial"/>
          <w:bCs/>
          <w:sz w:val="24"/>
        </w:rPr>
        <w:t xml:space="preserve"> process diagram for reviewing each PCC classification has been included.  </w:t>
      </w:r>
    </w:p>
    <w:p w14:paraId="66180FD1" w14:textId="77777777" w:rsidR="00C25DC3" w:rsidRPr="0080220E" w:rsidRDefault="00C25DC3" w:rsidP="00C25DC3">
      <w:pPr>
        <w:spacing w:after="120"/>
        <w:ind w:left="360"/>
        <w:rPr>
          <w:rFonts w:ascii="Garamond" w:hAnsi="Garamond" w:cs="Arial"/>
          <w:bCs/>
          <w:sz w:val="24"/>
        </w:rPr>
      </w:pPr>
    </w:p>
    <w:p w14:paraId="4423C1D5" w14:textId="77777777" w:rsidR="00C25DC3" w:rsidRPr="00DA353D" w:rsidRDefault="00C25DC3" w:rsidP="00C25DC3">
      <w:pPr>
        <w:spacing w:after="120"/>
        <w:rPr>
          <w:rFonts w:ascii="Garamond" w:hAnsi="Garamond" w:cs="Arial"/>
          <w:bCs/>
          <w:sz w:val="24"/>
          <w:u w:val="single"/>
        </w:rPr>
      </w:pPr>
    </w:p>
    <w:p w14:paraId="2ACFDA5A" w14:textId="77777777" w:rsidR="00C25DC3" w:rsidRPr="00DA353D" w:rsidRDefault="00C25DC3" w:rsidP="00C25DC3">
      <w:pPr>
        <w:spacing w:after="120"/>
        <w:rPr>
          <w:rFonts w:ascii="Garamond" w:hAnsi="Garamond" w:cs="Arial"/>
          <w:bCs/>
          <w:sz w:val="24"/>
          <w:u w:val="single"/>
        </w:rPr>
      </w:pPr>
    </w:p>
    <w:p w14:paraId="02F87D99" w14:textId="77777777" w:rsidR="00C25DC3" w:rsidRPr="00F622FF" w:rsidRDefault="00C25DC3" w:rsidP="00DA353D">
      <w:pPr>
        <w:pStyle w:val="Heading1"/>
      </w:pPr>
      <w:r w:rsidRPr="00DA353D">
        <w:br w:type="page"/>
      </w:r>
      <w:bookmarkStart w:id="9" w:name="_Toc40196432"/>
      <w:r w:rsidRPr="00F622FF">
        <w:lastRenderedPageBreak/>
        <w:t>Descriptions of Portfolio Content Category Classifications</w:t>
      </w:r>
      <w:bookmarkEnd w:id="9"/>
    </w:p>
    <w:p w14:paraId="11F71453" w14:textId="5A3C7F33" w:rsidR="00C25DC3" w:rsidRPr="0080220E" w:rsidRDefault="00A44D48" w:rsidP="00C25DC3">
      <w:pPr>
        <w:spacing w:after="120"/>
        <w:rPr>
          <w:rFonts w:ascii="Garamond" w:hAnsi="Garamond" w:cs="Arial"/>
          <w:bCs/>
          <w:sz w:val="24"/>
        </w:rPr>
      </w:pPr>
      <w:r w:rsidRPr="0080220E">
        <w:rPr>
          <w:rFonts w:ascii="Garamond" w:hAnsi="Garamond" w:cs="Arial"/>
          <w:bCs/>
          <w:sz w:val="24"/>
        </w:rPr>
        <w:t>CPUC Decision (</w:t>
      </w:r>
      <w:r w:rsidR="00C25DC3" w:rsidRPr="0080220E">
        <w:rPr>
          <w:rFonts w:ascii="Garamond" w:hAnsi="Garamond" w:cs="Arial"/>
          <w:bCs/>
          <w:sz w:val="24"/>
        </w:rPr>
        <w:t>D</w:t>
      </w:r>
      <w:r w:rsidRPr="0080220E">
        <w:rPr>
          <w:rFonts w:ascii="Garamond" w:hAnsi="Garamond" w:cs="Arial"/>
          <w:bCs/>
          <w:sz w:val="24"/>
        </w:rPr>
        <w:t>)</w:t>
      </w:r>
      <w:r w:rsidR="00C25DC3" w:rsidRPr="0080220E">
        <w:rPr>
          <w:rFonts w:ascii="Garamond" w:hAnsi="Garamond" w:cs="Arial"/>
          <w:bCs/>
          <w:sz w:val="24"/>
        </w:rPr>
        <w:t xml:space="preserve">.11-12-052 provides guidance to </w:t>
      </w:r>
      <w:r w:rsidR="00840E4B">
        <w:rPr>
          <w:rFonts w:ascii="Garamond" w:hAnsi="Garamond" w:cs="Arial"/>
          <w:bCs/>
          <w:sz w:val="24"/>
        </w:rPr>
        <w:t xml:space="preserve">CPUC regulated </w:t>
      </w:r>
      <w:r w:rsidR="00C25DC3" w:rsidRPr="0080220E">
        <w:rPr>
          <w:rFonts w:ascii="Garamond" w:hAnsi="Garamond" w:cs="Arial"/>
          <w:bCs/>
          <w:sz w:val="24"/>
        </w:rPr>
        <w:t>retail sellers</w:t>
      </w:r>
      <w:r w:rsidRPr="0080220E">
        <w:rPr>
          <w:rStyle w:val="FootnoteReference"/>
          <w:rFonts w:ascii="Garamond" w:hAnsi="Garamond" w:cs="Arial"/>
          <w:bCs/>
          <w:sz w:val="24"/>
        </w:rPr>
        <w:footnoteReference w:id="1"/>
      </w:r>
      <w:r w:rsidR="00C25DC3" w:rsidRPr="0080220E">
        <w:rPr>
          <w:rFonts w:ascii="Garamond" w:hAnsi="Garamond" w:cs="Arial"/>
          <w:bCs/>
          <w:sz w:val="24"/>
        </w:rPr>
        <w:t xml:space="preserve"> </w:t>
      </w:r>
      <w:r w:rsidR="00F05BBF" w:rsidRPr="0080220E">
        <w:rPr>
          <w:rFonts w:ascii="Garamond" w:hAnsi="Garamond" w:cs="Arial"/>
          <w:bCs/>
          <w:sz w:val="24"/>
        </w:rPr>
        <w:t xml:space="preserve">on how specific types of </w:t>
      </w:r>
      <w:r w:rsidR="00C25DC3" w:rsidRPr="0080220E">
        <w:rPr>
          <w:rFonts w:ascii="Garamond" w:hAnsi="Garamond" w:cs="Arial"/>
          <w:bCs/>
          <w:sz w:val="24"/>
        </w:rPr>
        <w:t>RPS procurement can meet the criteria for inclusion in each of the RPS portfolio content categories that apply to RPS procurement from contracts and ownership agreements executed after June 1, 2010.  A different date applies for ESPs</w:t>
      </w:r>
      <w:r w:rsidR="000B0CDD" w:rsidRPr="0080220E">
        <w:rPr>
          <w:rFonts w:ascii="Garamond" w:hAnsi="Garamond" w:cs="Arial"/>
          <w:bCs/>
          <w:sz w:val="24"/>
        </w:rPr>
        <w:t xml:space="preserve"> (</w:t>
      </w:r>
      <w:r w:rsidR="00C25DC3" w:rsidRPr="0080220E">
        <w:rPr>
          <w:rFonts w:ascii="Garamond" w:hAnsi="Garamond" w:cs="Arial"/>
          <w:bCs/>
          <w:sz w:val="24"/>
        </w:rPr>
        <w:t>January 13, 2011</w:t>
      </w:r>
      <w:r w:rsidR="000B0CDD" w:rsidRPr="0080220E">
        <w:rPr>
          <w:rFonts w:ascii="Garamond" w:hAnsi="Garamond" w:cs="Arial"/>
          <w:bCs/>
          <w:sz w:val="24"/>
        </w:rPr>
        <w:t>)</w:t>
      </w:r>
      <w:r w:rsidR="00C25DC3" w:rsidRPr="0080220E">
        <w:rPr>
          <w:rFonts w:ascii="Garamond" w:hAnsi="Garamond" w:cs="Arial"/>
          <w:bCs/>
          <w:sz w:val="24"/>
        </w:rPr>
        <w:t xml:space="preserve"> and is subject to CPUC’s implementation of Public Utilities Code Section 399.16.</w:t>
      </w:r>
      <w:r w:rsidR="00C25DC3" w:rsidRPr="0080220E">
        <w:rPr>
          <w:rStyle w:val="FootnoteReference"/>
          <w:rFonts w:ascii="Garamond" w:hAnsi="Garamond" w:cs="Arial"/>
          <w:bCs/>
          <w:sz w:val="24"/>
        </w:rPr>
        <w:footnoteReference w:id="2"/>
      </w:r>
      <w:r w:rsidR="00C25DC3" w:rsidRPr="0080220E">
        <w:rPr>
          <w:rFonts w:ascii="Garamond" w:hAnsi="Garamond" w:cs="Arial"/>
          <w:bCs/>
          <w:sz w:val="24"/>
        </w:rPr>
        <w:t xml:space="preserve">  For the purposes of the Energy Division </w:t>
      </w:r>
      <w:r w:rsidR="00C25DC3" w:rsidRPr="0080220E">
        <w:rPr>
          <w:rFonts w:ascii="Garamond" w:hAnsi="Garamond"/>
          <w:bCs/>
          <w:sz w:val="24"/>
        </w:rPr>
        <w:t>Portfolio Content Category Classification Review Handbook</w:t>
      </w:r>
      <w:r w:rsidR="00F05BBF" w:rsidRPr="0080220E">
        <w:rPr>
          <w:rFonts w:ascii="Garamond" w:hAnsi="Garamond"/>
          <w:bCs/>
          <w:sz w:val="24"/>
        </w:rPr>
        <w:t>,</w:t>
      </w:r>
      <w:r w:rsidR="00C25DC3" w:rsidRPr="0080220E">
        <w:rPr>
          <w:rFonts w:ascii="Garamond" w:hAnsi="Garamond" w:cs="Arial"/>
          <w:bCs/>
          <w:sz w:val="24"/>
        </w:rPr>
        <w:t xml:space="preserve"> only the June 1, 2010 date will be referenced</w:t>
      </w:r>
      <w:r w:rsidRPr="0080220E">
        <w:rPr>
          <w:rFonts w:ascii="Garamond" w:hAnsi="Garamond" w:cs="Arial"/>
          <w:bCs/>
          <w:sz w:val="24"/>
        </w:rPr>
        <w:t>.</w:t>
      </w:r>
    </w:p>
    <w:p w14:paraId="4ED38168" w14:textId="77777777" w:rsidR="00C25DC3" w:rsidRPr="0080220E" w:rsidRDefault="00C25DC3" w:rsidP="00C25DC3">
      <w:pPr>
        <w:spacing w:after="0"/>
        <w:rPr>
          <w:rFonts w:ascii="Garamond" w:hAnsi="Garamond" w:cs="Arial"/>
          <w:bCs/>
          <w:sz w:val="24"/>
        </w:rPr>
      </w:pPr>
      <w:r w:rsidRPr="0080220E">
        <w:rPr>
          <w:rFonts w:ascii="Garamond" w:hAnsi="Garamond" w:cs="Arial"/>
          <w:bCs/>
          <w:sz w:val="24"/>
        </w:rPr>
        <w:t>The following sections highlight the criteria and definitions for each of the PCCs pursuant to D.11-12-052.</w:t>
      </w:r>
    </w:p>
    <w:p w14:paraId="231847AD" w14:textId="77777777" w:rsidR="00C25DC3" w:rsidRPr="0080220E" w:rsidRDefault="00C25DC3" w:rsidP="00C25DC3">
      <w:pPr>
        <w:spacing w:after="0"/>
        <w:rPr>
          <w:rFonts w:ascii="Garamond" w:hAnsi="Garamond" w:cs="Arial"/>
          <w:bCs/>
          <w:sz w:val="24"/>
          <w:u w:val="single"/>
        </w:rPr>
      </w:pPr>
    </w:p>
    <w:p w14:paraId="758289F7" w14:textId="79C91123" w:rsidR="00C25DC3" w:rsidRPr="00DA353D" w:rsidRDefault="00C25DC3" w:rsidP="00DA353D">
      <w:pPr>
        <w:pStyle w:val="Heading2"/>
      </w:pPr>
      <w:bookmarkStart w:id="10" w:name="_Toc370460203"/>
      <w:bookmarkStart w:id="11" w:name="_Toc40196433"/>
      <w:r w:rsidRPr="00DA353D">
        <w:t xml:space="preserve">Definition of Portfolio Content Category 1 (PCC </w:t>
      </w:r>
      <w:r w:rsidR="006741F2" w:rsidRPr="00DA353D">
        <w:t>1</w:t>
      </w:r>
      <w:r w:rsidRPr="00DA353D">
        <w:t>) - Facilities with First Point of Interconnection within a California Balancing Authority (CBA) or with Generation Scheduled into a CBA</w:t>
      </w:r>
      <w:bookmarkEnd w:id="10"/>
      <w:bookmarkEnd w:id="11"/>
    </w:p>
    <w:p w14:paraId="2BF3CBEE" w14:textId="7176A3BB" w:rsidR="00C25DC3" w:rsidRPr="0080220E" w:rsidRDefault="00C25DC3" w:rsidP="00C25DC3">
      <w:pPr>
        <w:spacing w:after="120"/>
        <w:rPr>
          <w:rFonts w:ascii="Garamond" w:eastAsia="Times New Roman" w:hAnsi="Garamond"/>
          <w:bCs/>
          <w:sz w:val="24"/>
        </w:rPr>
      </w:pPr>
      <w:r w:rsidRPr="0080220E">
        <w:rPr>
          <w:rFonts w:ascii="Garamond" w:eastAsia="Times New Roman" w:hAnsi="Garamond"/>
          <w:bCs/>
          <w:sz w:val="24"/>
        </w:rPr>
        <w:t xml:space="preserve">Pursuant to D.11-12-052 (Ordering Paragraph 1), a retail seller claiming PCC 1 for RECs must provide information to Energy Division to demonstrate the generation facility from which the electricity is procured meets </w:t>
      </w:r>
      <w:r w:rsidRPr="0080220E">
        <w:rPr>
          <w:rFonts w:ascii="Garamond" w:eastAsia="Times New Roman" w:hAnsi="Garamond"/>
          <w:bCs/>
          <w:sz w:val="24"/>
          <w:u w:val="single"/>
        </w:rPr>
        <w:t>one</w:t>
      </w:r>
      <w:r w:rsidRPr="0080220E">
        <w:rPr>
          <w:rFonts w:ascii="Garamond" w:eastAsia="Times New Roman" w:hAnsi="Garamond"/>
          <w:bCs/>
          <w:sz w:val="24"/>
        </w:rPr>
        <w:t xml:space="preserve"> of the following criteria: </w:t>
      </w:r>
    </w:p>
    <w:p w14:paraId="42E34566" w14:textId="77777777" w:rsidR="00C25DC3" w:rsidRPr="0080220E" w:rsidRDefault="00C25DC3" w:rsidP="00C25DC3">
      <w:pPr>
        <w:numPr>
          <w:ilvl w:val="0"/>
          <w:numId w:val="16"/>
        </w:numPr>
        <w:spacing w:after="120"/>
        <w:rPr>
          <w:rFonts w:ascii="Garamond" w:hAnsi="Garamond" w:cs="Arial"/>
          <w:bCs/>
          <w:sz w:val="24"/>
        </w:rPr>
      </w:pPr>
      <w:r w:rsidRPr="0080220E">
        <w:rPr>
          <w:rFonts w:ascii="Garamond" w:hAnsi="Garamond"/>
          <w:bCs/>
          <w:sz w:val="24"/>
        </w:rPr>
        <w:t xml:space="preserve">First point of interconnection to the Western Electricity Coordinating Council (WECC) transmission grid within the metered boundaries of a California balancing authority area. </w:t>
      </w:r>
    </w:p>
    <w:p w14:paraId="23EA2F07" w14:textId="77777777" w:rsidR="00C25DC3" w:rsidRPr="0080220E" w:rsidRDefault="00C25DC3" w:rsidP="00C25DC3">
      <w:pPr>
        <w:numPr>
          <w:ilvl w:val="0"/>
          <w:numId w:val="16"/>
        </w:numPr>
        <w:spacing w:after="120"/>
        <w:rPr>
          <w:rFonts w:ascii="Garamond" w:hAnsi="Garamond" w:cs="Arial"/>
          <w:bCs/>
          <w:sz w:val="24"/>
        </w:rPr>
      </w:pPr>
      <w:r w:rsidRPr="0080220E">
        <w:rPr>
          <w:rFonts w:ascii="Garamond" w:hAnsi="Garamond"/>
          <w:bCs/>
          <w:sz w:val="24"/>
        </w:rPr>
        <w:t>First point of interconnection with the electricity distribution system used to serve end users within the metered boundaries of a California balancing authority area.</w:t>
      </w:r>
    </w:p>
    <w:p w14:paraId="6A1AD244" w14:textId="73166B85" w:rsidR="00C25DC3" w:rsidRPr="0080220E" w:rsidRDefault="00C25DC3" w:rsidP="00C25DC3">
      <w:pPr>
        <w:numPr>
          <w:ilvl w:val="0"/>
          <w:numId w:val="16"/>
        </w:numPr>
        <w:spacing w:after="120"/>
        <w:rPr>
          <w:rFonts w:ascii="Garamond" w:hAnsi="Garamond" w:cs="Arial"/>
          <w:bCs/>
          <w:sz w:val="24"/>
        </w:rPr>
      </w:pPr>
      <w:r w:rsidRPr="0080220E">
        <w:rPr>
          <w:rFonts w:ascii="Garamond" w:hAnsi="Garamond"/>
          <w:bCs/>
          <w:sz w:val="24"/>
        </w:rPr>
        <w:t>Generation from a facility that is scheduled into a California balancing authority without substituting electricity from any other source. If another source provides real-time ancillary services required to maintain an hourly or sub-hourly import schedule into the California balancing authority only the fraction of the schedule actually generated by the generation facility from which the electricity is procured may count toward this portfolio content category.</w:t>
      </w:r>
    </w:p>
    <w:p w14:paraId="220179C9" w14:textId="77777777" w:rsidR="00C25DC3" w:rsidRPr="0080220E" w:rsidRDefault="00C25DC3" w:rsidP="00C25DC3">
      <w:pPr>
        <w:numPr>
          <w:ilvl w:val="0"/>
          <w:numId w:val="16"/>
        </w:numPr>
        <w:spacing w:after="120"/>
        <w:rPr>
          <w:rFonts w:ascii="Garamond" w:hAnsi="Garamond" w:cs="Arial"/>
          <w:bCs/>
          <w:sz w:val="24"/>
        </w:rPr>
      </w:pPr>
      <w:r w:rsidRPr="0080220E">
        <w:rPr>
          <w:rFonts w:ascii="Garamond" w:hAnsi="Garamond"/>
          <w:bCs/>
          <w:sz w:val="24"/>
        </w:rPr>
        <w:t>Generation from a facility that is scheduled into a California balancing authority pursuant to a dynamic transfer agreement</w:t>
      </w:r>
      <w:r w:rsidRPr="0080220E">
        <w:rPr>
          <w:rStyle w:val="FootnoteReference"/>
          <w:rFonts w:ascii="Garamond" w:hAnsi="Garamond"/>
          <w:bCs/>
          <w:sz w:val="24"/>
        </w:rPr>
        <w:footnoteReference w:id="3"/>
        <w:t>3</w:t>
      </w:r>
      <w:r w:rsidRPr="0080220E">
        <w:rPr>
          <w:rFonts w:ascii="Garamond" w:hAnsi="Garamond"/>
          <w:bCs/>
          <w:sz w:val="24"/>
        </w:rPr>
        <w:t xml:space="preserve"> between the balancing authority where the generation facility is located and the California balancing authority into which the generation is scheduled.</w:t>
      </w:r>
    </w:p>
    <w:p w14:paraId="2DA9C9E5" w14:textId="6F742A07" w:rsidR="00C25DC3" w:rsidRPr="0080220E" w:rsidRDefault="00C25DC3" w:rsidP="00C25DC3">
      <w:pPr>
        <w:spacing w:after="120"/>
        <w:rPr>
          <w:rFonts w:ascii="Garamond" w:hAnsi="Garamond" w:cs="Arial"/>
          <w:bCs/>
          <w:sz w:val="24"/>
        </w:rPr>
      </w:pPr>
      <w:r w:rsidRPr="0080220E">
        <w:rPr>
          <w:rFonts w:ascii="Garamond" w:hAnsi="Garamond"/>
          <w:bCs/>
          <w:sz w:val="24"/>
        </w:rPr>
        <w:t>Additional information regarding reporting requirements for PCC 1 claims can be found in section III.A-D.</w:t>
      </w:r>
    </w:p>
    <w:p w14:paraId="65B320AB" w14:textId="77777777" w:rsidR="00C25DC3" w:rsidRPr="0080220E" w:rsidRDefault="00C25DC3" w:rsidP="00C25DC3">
      <w:pPr>
        <w:spacing w:after="0"/>
        <w:rPr>
          <w:rFonts w:ascii="Garamond" w:hAnsi="Garamond"/>
          <w:bCs/>
          <w:sz w:val="24"/>
        </w:rPr>
      </w:pPr>
    </w:p>
    <w:p w14:paraId="23F92F18" w14:textId="61AE2715" w:rsidR="00C25DC3" w:rsidRPr="00DA353D" w:rsidRDefault="00C25DC3" w:rsidP="00DA353D">
      <w:pPr>
        <w:pStyle w:val="Heading2"/>
      </w:pPr>
      <w:bookmarkStart w:id="12" w:name="_Toc370460204"/>
      <w:bookmarkStart w:id="13" w:name="_Toc40196434"/>
      <w:r w:rsidRPr="00DA353D">
        <w:lastRenderedPageBreak/>
        <w:t>Definition of Portfolio Content Category 2 (PCC 2) -Incremental Electricity and Substitute Energy</w:t>
      </w:r>
      <w:bookmarkEnd w:id="12"/>
      <w:bookmarkEnd w:id="13"/>
    </w:p>
    <w:p w14:paraId="29905F92" w14:textId="104F8D3C" w:rsidR="00C25DC3" w:rsidRPr="0080220E" w:rsidRDefault="00C25DC3" w:rsidP="00C25DC3">
      <w:pPr>
        <w:spacing w:after="120"/>
        <w:rPr>
          <w:rFonts w:ascii="Garamond" w:eastAsia="Times New Roman" w:hAnsi="Garamond"/>
          <w:bCs/>
          <w:sz w:val="24"/>
        </w:rPr>
      </w:pPr>
      <w:r w:rsidRPr="0080220E">
        <w:rPr>
          <w:rFonts w:ascii="Garamond" w:eastAsia="Times New Roman" w:hAnsi="Garamond"/>
          <w:bCs/>
          <w:sz w:val="24"/>
        </w:rPr>
        <w:t>Pursuant to D.11-12-052 (Ordering Paragraph 2), a retail seller claiming</w:t>
      </w:r>
      <w:r w:rsidRPr="0080220E">
        <w:rPr>
          <w:rFonts w:ascii="Garamond" w:hAnsi="Garamond"/>
          <w:bCs/>
          <w:sz w:val="24"/>
        </w:rPr>
        <w:t xml:space="preserve"> </w:t>
      </w:r>
      <w:r w:rsidRPr="0080220E">
        <w:rPr>
          <w:rFonts w:ascii="Garamond" w:eastAsia="Times New Roman" w:hAnsi="Garamond"/>
          <w:bCs/>
          <w:sz w:val="24"/>
        </w:rPr>
        <w:t>PCC 2</w:t>
      </w:r>
      <w:r w:rsidR="008E1BDE">
        <w:rPr>
          <w:rFonts w:ascii="Garamond" w:hAnsi="Garamond"/>
          <w:bCs/>
        </w:rPr>
        <w:t xml:space="preserve"> </w:t>
      </w:r>
      <w:r w:rsidRPr="0080220E">
        <w:rPr>
          <w:rFonts w:ascii="Garamond" w:eastAsia="Times New Roman" w:hAnsi="Garamond"/>
          <w:bCs/>
          <w:sz w:val="24"/>
        </w:rPr>
        <w:t xml:space="preserve">for RECs must provide information to the Energy Division to demonstrate </w:t>
      </w:r>
      <w:r w:rsidRPr="0080220E">
        <w:rPr>
          <w:rFonts w:ascii="Garamond" w:hAnsi="Garamond"/>
          <w:bCs/>
          <w:sz w:val="24"/>
          <w:u w:val="single"/>
        </w:rPr>
        <w:t>all</w:t>
      </w:r>
      <w:r w:rsidRPr="0080220E">
        <w:rPr>
          <w:rFonts w:ascii="Garamond" w:eastAsia="Times New Roman" w:hAnsi="Garamond"/>
          <w:bCs/>
          <w:sz w:val="24"/>
        </w:rPr>
        <w:t xml:space="preserve"> of the following: </w:t>
      </w:r>
    </w:p>
    <w:p w14:paraId="22AF3231" w14:textId="77777777" w:rsidR="00C25DC3" w:rsidRPr="0080220E" w:rsidRDefault="00C25DC3" w:rsidP="00C25DC3">
      <w:pPr>
        <w:numPr>
          <w:ilvl w:val="0"/>
          <w:numId w:val="5"/>
        </w:numPr>
        <w:spacing w:after="120"/>
        <w:rPr>
          <w:rFonts w:ascii="Garamond" w:eastAsia="Times New Roman" w:hAnsi="Garamond"/>
          <w:bCs/>
          <w:sz w:val="24"/>
        </w:rPr>
      </w:pPr>
      <w:r w:rsidRPr="0080220E">
        <w:rPr>
          <w:rFonts w:ascii="Garamond" w:eastAsia="Times New Roman" w:hAnsi="Garamond"/>
          <w:bCs/>
          <w:sz w:val="24"/>
        </w:rPr>
        <w:t>Buyer simultaneously purchases energy and associated RECs from the RPS-eligible generation facility without selling the energy back to the generator at the same time.</w:t>
      </w:r>
    </w:p>
    <w:p w14:paraId="36254696" w14:textId="77777777" w:rsidR="00C25DC3" w:rsidRPr="0080220E" w:rsidRDefault="00C25DC3" w:rsidP="00C25DC3">
      <w:pPr>
        <w:numPr>
          <w:ilvl w:val="0"/>
          <w:numId w:val="5"/>
        </w:numPr>
        <w:spacing w:after="120"/>
        <w:rPr>
          <w:rFonts w:ascii="Garamond" w:eastAsia="Times New Roman" w:hAnsi="Garamond"/>
          <w:bCs/>
          <w:sz w:val="24"/>
        </w:rPr>
      </w:pPr>
      <w:r w:rsidRPr="0080220E">
        <w:rPr>
          <w:rFonts w:ascii="Garamond" w:eastAsia="Times New Roman" w:hAnsi="Garamond"/>
          <w:bCs/>
          <w:sz w:val="24"/>
        </w:rPr>
        <w:t>Purchased energy must be available to the buyer, i.e., the purchased energy must not in practice be already committed to another party.</w:t>
      </w:r>
    </w:p>
    <w:p w14:paraId="4F11B897" w14:textId="77777777" w:rsidR="00C25DC3" w:rsidRPr="0080220E" w:rsidRDefault="00C25DC3" w:rsidP="00C25DC3">
      <w:pPr>
        <w:numPr>
          <w:ilvl w:val="0"/>
          <w:numId w:val="5"/>
        </w:numPr>
        <w:spacing w:after="120"/>
        <w:rPr>
          <w:rFonts w:ascii="Garamond" w:eastAsia="Times New Roman" w:hAnsi="Garamond"/>
          <w:bCs/>
          <w:sz w:val="24"/>
        </w:rPr>
      </w:pPr>
      <w:r w:rsidRPr="0080220E">
        <w:rPr>
          <w:rFonts w:ascii="Garamond" w:eastAsia="Times New Roman" w:hAnsi="Garamond"/>
          <w:bCs/>
          <w:sz w:val="24"/>
        </w:rPr>
        <w:t>Initial contract for substitute energy is acquired no earlier than the time the RPS-eligible energy is purchased, and prior to the initial date of generation of the RPS-eligible energy as stated in the contract.</w:t>
      </w:r>
    </w:p>
    <w:p w14:paraId="75E3595C" w14:textId="319CFDBC" w:rsidR="00C25DC3" w:rsidRPr="0080220E" w:rsidRDefault="00C25DC3" w:rsidP="00C25DC3">
      <w:pPr>
        <w:spacing w:after="120"/>
        <w:rPr>
          <w:rFonts w:ascii="Garamond" w:hAnsi="Garamond" w:cs="Arial"/>
          <w:bCs/>
          <w:sz w:val="24"/>
        </w:rPr>
      </w:pPr>
      <w:r w:rsidRPr="0080220E">
        <w:rPr>
          <w:rFonts w:ascii="Garamond" w:hAnsi="Garamond"/>
          <w:bCs/>
          <w:sz w:val="24"/>
        </w:rPr>
        <w:t>Additional information regarding reporting requirements for PCC 2 claims can be found in section III.E.</w:t>
      </w:r>
    </w:p>
    <w:p w14:paraId="3CA6B4FA" w14:textId="12997EE9" w:rsidR="00C25DC3" w:rsidRPr="00DA353D" w:rsidRDefault="00C25DC3" w:rsidP="00DA353D">
      <w:pPr>
        <w:pStyle w:val="Heading2"/>
      </w:pPr>
      <w:bookmarkStart w:id="14" w:name="_Toc40196140"/>
      <w:bookmarkStart w:id="15" w:name="_Toc40196165"/>
      <w:bookmarkStart w:id="16" w:name="_Toc40196405"/>
      <w:bookmarkStart w:id="17" w:name="_Toc40196435"/>
      <w:bookmarkStart w:id="18" w:name="_Toc370460205"/>
      <w:bookmarkStart w:id="19" w:name="_Toc40196436"/>
      <w:bookmarkEnd w:id="14"/>
      <w:bookmarkEnd w:id="15"/>
      <w:bookmarkEnd w:id="16"/>
      <w:bookmarkEnd w:id="17"/>
      <w:r w:rsidRPr="00DA353D">
        <w:t>Definition of Portfolio Content Category 3 (PCC 3) -Electricity Products Not Qualifying as PCC 1 or PCC 2, Including Unbundled RECs</w:t>
      </w:r>
      <w:bookmarkEnd w:id="18"/>
      <w:bookmarkEnd w:id="19"/>
    </w:p>
    <w:p w14:paraId="6279AAFE" w14:textId="1CA8CD8C" w:rsidR="00C25DC3" w:rsidRPr="0080220E" w:rsidRDefault="00C25DC3" w:rsidP="00C25DC3">
      <w:pPr>
        <w:spacing w:after="120"/>
        <w:rPr>
          <w:rFonts w:ascii="Garamond" w:hAnsi="Garamond"/>
          <w:bCs/>
          <w:sz w:val="24"/>
        </w:rPr>
      </w:pPr>
      <w:r w:rsidRPr="0080220E">
        <w:rPr>
          <w:rFonts w:ascii="Garamond" w:hAnsi="Garamond"/>
          <w:bCs/>
          <w:sz w:val="24"/>
        </w:rPr>
        <w:t xml:space="preserve">Pursuant to D.11-12-052 (Ordering Paragraph 18), any retail seller claiming PCC 3 for RECs, must provide information to Energy Division demonstrating that </w:t>
      </w:r>
      <w:r w:rsidRPr="0080220E">
        <w:rPr>
          <w:rFonts w:ascii="Garamond" w:hAnsi="Garamond"/>
          <w:bCs/>
          <w:sz w:val="24"/>
          <w:u w:val="single"/>
        </w:rPr>
        <w:t>one or more</w:t>
      </w:r>
      <w:r w:rsidRPr="0080220E">
        <w:rPr>
          <w:rFonts w:ascii="Garamond" w:hAnsi="Garamond"/>
          <w:bCs/>
          <w:sz w:val="24"/>
        </w:rPr>
        <w:t xml:space="preserve"> of the following conditions are met:</w:t>
      </w:r>
    </w:p>
    <w:p w14:paraId="70A1B9BF" w14:textId="2169C1C6" w:rsidR="00C25DC3" w:rsidRPr="0080220E" w:rsidRDefault="00C25DC3" w:rsidP="00C25DC3">
      <w:pPr>
        <w:numPr>
          <w:ilvl w:val="0"/>
          <w:numId w:val="15"/>
        </w:numPr>
        <w:spacing w:after="120"/>
        <w:rPr>
          <w:rFonts w:ascii="Garamond" w:hAnsi="Garamond"/>
          <w:bCs/>
          <w:sz w:val="24"/>
        </w:rPr>
      </w:pPr>
      <w:r w:rsidRPr="0080220E">
        <w:rPr>
          <w:rFonts w:ascii="Garamond" w:hAnsi="Garamond"/>
          <w:bCs/>
          <w:sz w:val="24"/>
        </w:rPr>
        <w:t xml:space="preserve">Procurement consists of unbundled renewable energy credits originally associated with electricity eligible for use in the California </w:t>
      </w:r>
      <w:r w:rsidR="003F5642" w:rsidRPr="0080220E">
        <w:rPr>
          <w:rFonts w:ascii="Garamond" w:hAnsi="Garamond"/>
          <w:bCs/>
          <w:sz w:val="24"/>
        </w:rPr>
        <w:t>R</w:t>
      </w:r>
      <w:r w:rsidRPr="0080220E">
        <w:rPr>
          <w:rFonts w:ascii="Garamond" w:hAnsi="Garamond"/>
          <w:bCs/>
          <w:sz w:val="24"/>
        </w:rPr>
        <w:t xml:space="preserve">enewables </w:t>
      </w:r>
      <w:r w:rsidR="003F5642" w:rsidRPr="0080220E">
        <w:rPr>
          <w:rFonts w:ascii="Garamond" w:hAnsi="Garamond"/>
          <w:bCs/>
          <w:sz w:val="24"/>
        </w:rPr>
        <w:t>P</w:t>
      </w:r>
      <w:r w:rsidRPr="0080220E">
        <w:rPr>
          <w:rFonts w:ascii="Garamond" w:hAnsi="Garamond"/>
          <w:bCs/>
          <w:sz w:val="24"/>
        </w:rPr>
        <w:t xml:space="preserve">ortfolio </w:t>
      </w:r>
      <w:r w:rsidR="003F5642" w:rsidRPr="0080220E">
        <w:rPr>
          <w:rFonts w:ascii="Garamond" w:hAnsi="Garamond"/>
          <w:bCs/>
          <w:sz w:val="24"/>
        </w:rPr>
        <w:t>S</w:t>
      </w:r>
      <w:r w:rsidRPr="0080220E">
        <w:rPr>
          <w:rFonts w:ascii="Garamond" w:hAnsi="Garamond"/>
          <w:bCs/>
          <w:sz w:val="24"/>
        </w:rPr>
        <w:t>tandard.</w:t>
      </w:r>
    </w:p>
    <w:p w14:paraId="075FCEAC" w14:textId="32BD6B32" w:rsidR="00C25DC3" w:rsidRPr="0080220E" w:rsidRDefault="00C25DC3" w:rsidP="00C25DC3">
      <w:pPr>
        <w:numPr>
          <w:ilvl w:val="0"/>
          <w:numId w:val="15"/>
        </w:numPr>
        <w:spacing w:after="120"/>
        <w:rPr>
          <w:rFonts w:ascii="Garamond" w:hAnsi="Garamond"/>
          <w:bCs/>
          <w:sz w:val="24"/>
        </w:rPr>
      </w:pPr>
      <w:r w:rsidRPr="0080220E">
        <w:rPr>
          <w:rFonts w:ascii="Garamond" w:hAnsi="Garamond"/>
          <w:bCs/>
          <w:sz w:val="24"/>
        </w:rPr>
        <w:t xml:space="preserve">Procurement consists of any generation eligible under the California </w:t>
      </w:r>
      <w:r w:rsidR="003F5642" w:rsidRPr="0080220E">
        <w:rPr>
          <w:rFonts w:ascii="Garamond" w:hAnsi="Garamond"/>
          <w:bCs/>
          <w:sz w:val="24"/>
        </w:rPr>
        <w:t>R</w:t>
      </w:r>
      <w:r w:rsidRPr="0080220E">
        <w:rPr>
          <w:rFonts w:ascii="Garamond" w:hAnsi="Garamond"/>
          <w:bCs/>
          <w:sz w:val="24"/>
        </w:rPr>
        <w:t xml:space="preserve">enewables </w:t>
      </w:r>
      <w:r w:rsidR="003F5642" w:rsidRPr="0080220E">
        <w:rPr>
          <w:rFonts w:ascii="Garamond" w:hAnsi="Garamond"/>
          <w:bCs/>
          <w:sz w:val="24"/>
        </w:rPr>
        <w:t>P</w:t>
      </w:r>
      <w:r w:rsidRPr="0080220E">
        <w:rPr>
          <w:rFonts w:ascii="Garamond" w:hAnsi="Garamond"/>
          <w:bCs/>
          <w:sz w:val="24"/>
        </w:rPr>
        <w:t xml:space="preserve">ortfolio </w:t>
      </w:r>
      <w:r w:rsidR="003F5642" w:rsidRPr="0080220E">
        <w:rPr>
          <w:rFonts w:ascii="Garamond" w:hAnsi="Garamond"/>
          <w:bCs/>
          <w:sz w:val="24"/>
        </w:rPr>
        <w:t>S</w:t>
      </w:r>
      <w:r w:rsidRPr="0080220E">
        <w:rPr>
          <w:rFonts w:ascii="Garamond" w:hAnsi="Garamond"/>
          <w:bCs/>
          <w:sz w:val="24"/>
        </w:rPr>
        <w:t>tandard that does not quality to be counted in either the portfolio content category described in Pub. Util. Code § 399.16(b)(1), or the portfolio content category described in Pub. Util. Code § 399.16(b)(2).</w:t>
      </w:r>
      <w:r w:rsidRPr="0080220E">
        <w:rPr>
          <w:rFonts w:ascii="Garamond" w:hAnsi="Garamond" w:cs="Arial"/>
          <w:bCs/>
          <w:sz w:val="24"/>
        </w:rPr>
        <w:t xml:space="preserve">  </w:t>
      </w:r>
    </w:p>
    <w:p w14:paraId="018860C0" w14:textId="77777777" w:rsidR="00C25DC3" w:rsidRPr="0080220E" w:rsidRDefault="00C25DC3" w:rsidP="00C25DC3">
      <w:pPr>
        <w:numPr>
          <w:ilvl w:val="1"/>
          <w:numId w:val="15"/>
        </w:numPr>
        <w:spacing w:after="120"/>
        <w:rPr>
          <w:rFonts w:ascii="Garamond" w:hAnsi="Garamond"/>
          <w:bCs/>
          <w:sz w:val="24"/>
        </w:rPr>
      </w:pPr>
      <w:r w:rsidRPr="00DA353D">
        <w:rPr>
          <w:rFonts w:ascii="Garamond" w:hAnsi="Garamond" w:cs="Arial"/>
          <w:bCs/>
          <w:sz w:val="24"/>
          <w:u w:val="single"/>
        </w:rPr>
        <w:t>Example:</w:t>
      </w:r>
      <w:r w:rsidRPr="0080220E">
        <w:rPr>
          <w:rFonts w:ascii="Garamond" w:hAnsi="Garamond" w:cs="Arial"/>
          <w:bCs/>
          <w:sz w:val="24"/>
        </w:rPr>
        <w:t xml:space="preserve"> RECs from a PCC 1 facility where meter generation is in excess of the e-Tag amount. The amount of metered generation in excess of the amount identified on the e-Tag cannot count as PCC 1 and would be counted in PCC 3.</w:t>
      </w:r>
    </w:p>
    <w:p w14:paraId="67F44511" w14:textId="27C63C53" w:rsidR="00C25DC3" w:rsidRPr="0080220E" w:rsidRDefault="00C25DC3" w:rsidP="00C25DC3">
      <w:pPr>
        <w:spacing w:after="120"/>
        <w:rPr>
          <w:rFonts w:ascii="Garamond" w:hAnsi="Garamond" w:cs="Arial"/>
          <w:bCs/>
          <w:sz w:val="24"/>
        </w:rPr>
      </w:pPr>
      <w:r w:rsidRPr="0080220E">
        <w:rPr>
          <w:rFonts w:ascii="Garamond" w:hAnsi="Garamond"/>
          <w:bCs/>
          <w:sz w:val="24"/>
        </w:rPr>
        <w:t>Additional information regarding reporting requirements for PCC 3 claims can be found in section III.F.</w:t>
      </w:r>
    </w:p>
    <w:p w14:paraId="210A9A89" w14:textId="77777777" w:rsidR="00C25DC3" w:rsidRPr="0080220E" w:rsidRDefault="00C25DC3" w:rsidP="00C25DC3">
      <w:pPr>
        <w:spacing w:after="0"/>
        <w:rPr>
          <w:rFonts w:ascii="Garamond" w:hAnsi="Garamond"/>
          <w:bCs/>
          <w:sz w:val="24"/>
        </w:rPr>
      </w:pPr>
    </w:p>
    <w:p w14:paraId="2ED7344A" w14:textId="77777777" w:rsidR="00C25DC3" w:rsidRPr="00DA353D" w:rsidRDefault="00C25DC3" w:rsidP="00DA353D">
      <w:pPr>
        <w:pStyle w:val="Heading2"/>
      </w:pPr>
      <w:bookmarkStart w:id="20" w:name="_Toc370460206"/>
      <w:bookmarkStart w:id="21" w:name="_Toc40196437"/>
      <w:r w:rsidRPr="00DA353D">
        <w:t>Definition of RECs Not Subject to Portfolio Content Category Classifications 1, 2 and 3</w:t>
      </w:r>
      <w:bookmarkEnd w:id="20"/>
      <w:r w:rsidRPr="00DA353D">
        <w:t xml:space="preserve"> (PCC 0)</w:t>
      </w:r>
      <w:bookmarkEnd w:id="21"/>
    </w:p>
    <w:p w14:paraId="10FDCF68" w14:textId="77777777" w:rsidR="00C25DC3" w:rsidRPr="0080220E" w:rsidRDefault="00C25DC3" w:rsidP="00C25DC3">
      <w:pPr>
        <w:tabs>
          <w:tab w:val="left" w:pos="0"/>
        </w:tabs>
        <w:spacing w:after="120"/>
        <w:rPr>
          <w:rFonts w:ascii="Garamond" w:hAnsi="Garamond" w:cs="Arial"/>
          <w:bCs/>
          <w:sz w:val="24"/>
        </w:rPr>
      </w:pPr>
      <w:r w:rsidRPr="0080220E">
        <w:rPr>
          <w:rFonts w:ascii="Garamond" w:hAnsi="Garamond" w:cs="Arial"/>
          <w:bCs/>
          <w:sz w:val="24"/>
        </w:rPr>
        <w:t xml:space="preserve">Procurement claims from contract/ownership agreements executed before June 1, 2010, are not subject to the PCC classifications established in D.11-12-052. For the purposes of RPS compliance, any eligible RPS RECs that are not subject to PCC 1, 2, or 3 will be placed in their own classification, which Energy Division staff categorize as PCC 0.   </w:t>
      </w:r>
    </w:p>
    <w:p w14:paraId="740A780F" w14:textId="59286204" w:rsidR="00C25DC3" w:rsidRPr="0080220E" w:rsidRDefault="00C25DC3" w:rsidP="00C25DC3">
      <w:pPr>
        <w:tabs>
          <w:tab w:val="left" w:pos="0"/>
        </w:tabs>
        <w:spacing w:after="120"/>
        <w:rPr>
          <w:rFonts w:ascii="Garamond" w:eastAsia="Times New Roman" w:hAnsi="Garamond"/>
          <w:bCs/>
          <w:sz w:val="24"/>
        </w:rPr>
      </w:pPr>
      <w:r w:rsidRPr="0080220E">
        <w:rPr>
          <w:rFonts w:ascii="Garamond" w:eastAsia="Times New Roman" w:hAnsi="Garamond"/>
          <w:bCs/>
          <w:sz w:val="24"/>
        </w:rPr>
        <w:t xml:space="preserve">Pursuant to D.11-12-052, a retail seller claiming PCC 0 for RECs from a procurement contract or ownership agreement signed, or utility-owned generation in commercial operation before June 1, </w:t>
      </w:r>
      <w:r w:rsidRPr="0080220E">
        <w:rPr>
          <w:rFonts w:ascii="Garamond" w:eastAsia="Times New Roman" w:hAnsi="Garamond"/>
          <w:bCs/>
          <w:sz w:val="24"/>
        </w:rPr>
        <w:lastRenderedPageBreak/>
        <w:t>2010, must provide documentation (see section III.G) to demonstrate that the original date of contract execution was prior to June 1, 2010.</w:t>
      </w:r>
    </w:p>
    <w:p w14:paraId="50ACC8E4" w14:textId="6544B14F" w:rsidR="00C25DC3" w:rsidRPr="0080220E" w:rsidRDefault="00C25DC3" w:rsidP="00C25DC3">
      <w:pPr>
        <w:tabs>
          <w:tab w:val="left" w:pos="0"/>
        </w:tabs>
        <w:spacing w:after="120"/>
        <w:rPr>
          <w:rFonts w:ascii="Garamond" w:eastAsia="Times New Roman" w:hAnsi="Garamond"/>
          <w:bCs/>
          <w:sz w:val="24"/>
        </w:rPr>
      </w:pPr>
      <w:r w:rsidRPr="0080220E">
        <w:rPr>
          <w:rFonts w:ascii="Garamond" w:eastAsia="Times New Roman" w:hAnsi="Garamond"/>
          <w:bCs/>
          <w:sz w:val="24"/>
        </w:rPr>
        <w:t>If a contract or ownership agreement originally signed by a retail seller prior to June 1, 2010, is amended or modified after June 1, 2010, to increase the nameplate capacity or expected quantities of annual generation</w:t>
      </w:r>
      <w:r w:rsidR="003F5642" w:rsidRPr="0080220E">
        <w:rPr>
          <w:rFonts w:ascii="Garamond" w:eastAsia="Times New Roman" w:hAnsi="Garamond"/>
          <w:bCs/>
          <w:sz w:val="24"/>
        </w:rPr>
        <w:t>, it may not be considered PCC 0</w:t>
      </w:r>
      <w:r w:rsidRPr="0080220E">
        <w:rPr>
          <w:rFonts w:ascii="Garamond" w:eastAsia="Times New Roman" w:hAnsi="Garamond"/>
          <w:bCs/>
          <w:sz w:val="24"/>
        </w:rPr>
        <w:t>. However, the originally contracted procurement may be used for all compliance purposes, but the incremental procurement resulting from the amendment will be subject to PCCs 1, 2 and/or 3 depending on the delivery conditions of the amended contract.</w:t>
      </w:r>
    </w:p>
    <w:p w14:paraId="0FA3ACF8" w14:textId="7D452B69" w:rsidR="00C25DC3" w:rsidRPr="0080220E" w:rsidRDefault="00C25DC3" w:rsidP="00C25DC3">
      <w:pPr>
        <w:spacing w:after="120"/>
        <w:rPr>
          <w:rFonts w:ascii="Garamond" w:hAnsi="Garamond" w:cs="Arial"/>
          <w:bCs/>
          <w:sz w:val="24"/>
        </w:rPr>
      </w:pPr>
      <w:r w:rsidRPr="0080220E">
        <w:rPr>
          <w:rFonts w:ascii="Garamond" w:hAnsi="Garamond"/>
          <w:bCs/>
          <w:sz w:val="24"/>
        </w:rPr>
        <w:t>Additional information regarding reporting requirements for PCC 0 claims can be found in section III.F .</w:t>
      </w:r>
    </w:p>
    <w:p w14:paraId="152F6D47" w14:textId="77777777" w:rsidR="00C25DC3" w:rsidRPr="0080220E" w:rsidRDefault="00C25DC3" w:rsidP="00C25DC3">
      <w:pPr>
        <w:tabs>
          <w:tab w:val="left" w:pos="0"/>
        </w:tabs>
        <w:spacing w:after="0"/>
        <w:rPr>
          <w:rFonts w:ascii="Garamond" w:hAnsi="Garamond"/>
          <w:bCs/>
          <w:sz w:val="24"/>
        </w:rPr>
      </w:pPr>
    </w:p>
    <w:p w14:paraId="578005B2" w14:textId="17530E66" w:rsidR="00C25DC3" w:rsidRPr="0080220E" w:rsidRDefault="00C25DC3" w:rsidP="00C25DC3">
      <w:pPr>
        <w:tabs>
          <w:tab w:val="left" w:pos="0"/>
        </w:tabs>
        <w:spacing w:after="0"/>
        <w:rPr>
          <w:rFonts w:ascii="Garamond" w:hAnsi="Garamond"/>
          <w:bCs/>
          <w:sz w:val="24"/>
        </w:rPr>
      </w:pPr>
    </w:p>
    <w:p w14:paraId="685C2BB4" w14:textId="330591A0" w:rsidR="003F5642" w:rsidRPr="0080220E" w:rsidRDefault="003F5642" w:rsidP="00C25DC3">
      <w:pPr>
        <w:tabs>
          <w:tab w:val="left" w:pos="0"/>
        </w:tabs>
        <w:spacing w:after="0"/>
        <w:rPr>
          <w:rFonts w:ascii="Garamond" w:hAnsi="Garamond"/>
          <w:bCs/>
          <w:sz w:val="24"/>
        </w:rPr>
      </w:pPr>
    </w:p>
    <w:p w14:paraId="77B07CEA" w14:textId="48B51C63" w:rsidR="003F5642" w:rsidRPr="0080220E" w:rsidRDefault="003F5642" w:rsidP="00C25DC3">
      <w:pPr>
        <w:tabs>
          <w:tab w:val="left" w:pos="0"/>
        </w:tabs>
        <w:spacing w:after="0"/>
        <w:rPr>
          <w:rFonts w:ascii="Garamond" w:hAnsi="Garamond"/>
          <w:bCs/>
          <w:sz w:val="24"/>
        </w:rPr>
      </w:pPr>
    </w:p>
    <w:p w14:paraId="670ED3B6" w14:textId="3EDCCD7A" w:rsidR="003F5642" w:rsidRPr="0080220E" w:rsidRDefault="003F5642" w:rsidP="00C25DC3">
      <w:pPr>
        <w:tabs>
          <w:tab w:val="left" w:pos="0"/>
        </w:tabs>
        <w:spacing w:after="0"/>
        <w:rPr>
          <w:rFonts w:ascii="Garamond" w:hAnsi="Garamond"/>
          <w:bCs/>
          <w:sz w:val="24"/>
        </w:rPr>
      </w:pPr>
    </w:p>
    <w:p w14:paraId="37C38B6D" w14:textId="63C8A0B9" w:rsidR="003F5642" w:rsidRPr="0080220E" w:rsidRDefault="003F5642" w:rsidP="00C25DC3">
      <w:pPr>
        <w:tabs>
          <w:tab w:val="left" w:pos="0"/>
        </w:tabs>
        <w:spacing w:after="0"/>
        <w:rPr>
          <w:rFonts w:ascii="Garamond" w:hAnsi="Garamond"/>
          <w:bCs/>
          <w:sz w:val="24"/>
        </w:rPr>
      </w:pPr>
    </w:p>
    <w:p w14:paraId="22CAC807" w14:textId="586880D2" w:rsidR="003F5642" w:rsidRPr="0080220E" w:rsidRDefault="003F5642" w:rsidP="00C25DC3">
      <w:pPr>
        <w:tabs>
          <w:tab w:val="left" w:pos="0"/>
        </w:tabs>
        <w:spacing w:after="0"/>
        <w:rPr>
          <w:rFonts w:ascii="Garamond" w:hAnsi="Garamond"/>
          <w:bCs/>
          <w:sz w:val="24"/>
        </w:rPr>
      </w:pPr>
    </w:p>
    <w:p w14:paraId="3C22CEAF" w14:textId="1E5FD39D" w:rsidR="003F5642" w:rsidRPr="0080220E" w:rsidRDefault="003F5642" w:rsidP="00C25DC3">
      <w:pPr>
        <w:tabs>
          <w:tab w:val="left" w:pos="0"/>
        </w:tabs>
        <w:spacing w:after="0"/>
        <w:rPr>
          <w:rFonts w:ascii="Garamond" w:hAnsi="Garamond"/>
          <w:bCs/>
          <w:sz w:val="24"/>
        </w:rPr>
      </w:pPr>
    </w:p>
    <w:p w14:paraId="5D45DED0" w14:textId="5C81B4EA" w:rsidR="003F5642" w:rsidRPr="0080220E" w:rsidRDefault="003F5642" w:rsidP="00C25DC3">
      <w:pPr>
        <w:tabs>
          <w:tab w:val="left" w:pos="0"/>
        </w:tabs>
        <w:spacing w:after="0"/>
        <w:rPr>
          <w:rFonts w:ascii="Garamond" w:hAnsi="Garamond"/>
          <w:bCs/>
          <w:sz w:val="24"/>
        </w:rPr>
      </w:pPr>
    </w:p>
    <w:p w14:paraId="77066FAA" w14:textId="4CF6B3DC" w:rsidR="003F5642" w:rsidRPr="0080220E" w:rsidRDefault="003F5642" w:rsidP="00C25DC3">
      <w:pPr>
        <w:tabs>
          <w:tab w:val="left" w:pos="0"/>
        </w:tabs>
        <w:spacing w:after="0"/>
        <w:rPr>
          <w:rFonts w:ascii="Garamond" w:hAnsi="Garamond"/>
          <w:bCs/>
          <w:sz w:val="24"/>
        </w:rPr>
      </w:pPr>
    </w:p>
    <w:p w14:paraId="2F5ED65D" w14:textId="645286A6" w:rsidR="003F5642" w:rsidRPr="0080220E" w:rsidRDefault="003F5642" w:rsidP="00C25DC3">
      <w:pPr>
        <w:tabs>
          <w:tab w:val="left" w:pos="0"/>
        </w:tabs>
        <w:spacing w:after="0"/>
        <w:rPr>
          <w:rFonts w:ascii="Garamond" w:hAnsi="Garamond"/>
          <w:bCs/>
          <w:sz w:val="24"/>
        </w:rPr>
      </w:pPr>
    </w:p>
    <w:p w14:paraId="4D04787A" w14:textId="3F8EC8EC" w:rsidR="003F5642" w:rsidRPr="0080220E" w:rsidRDefault="003F5642" w:rsidP="00C25DC3">
      <w:pPr>
        <w:tabs>
          <w:tab w:val="left" w:pos="0"/>
        </w:tabs>
        <w:spacing w:after="0"/>
        <w:rPr>
          <w:rFonts w:ascii="Garamond" w:hAnsi="Garamond"/>
          <w:bCs/>
          <w:sz w:val="24"/>
        </w:rPr>
      </w:pPr>
    </w:p>
    <w:p w14:paraId="63BECF16" w14:textId="2A1B7887" w:rsidR="003F5642" w:rsidRPr="0080220E" w:rsidRDefault="003F5642" w:rsidP="00C25DC3">
      <w:pPr>
        <w:tabs>
          <w:tab w:val="left" w:pos="0"/>
        </w:tabs>
        <w:spacing w:after="0"/>
        <w:rPr>
          <w:rFonts w:ascii="Garamond" w:hAnsi="Garamond"/>
          <w:bCs/>
          <w:sz w:val="24"/>
        </w:rPr>
      </w:pPr>
    </w:p>
    <w:p w14:paraId="7AEB9E58" w14:textId="77777777" w:rsidR="003F5642" w:rsidRPr="0080220E" w:rsidRDefault="003F5642" w:rsidP="00C25DC3">
      <w:pPr>
        <w:tabs>
          <w:tab w:val="left" w:pos="0"/>
        </w:tabs>
        <w:spacing w:after="0"/>
        <w:rPr>
          <w:rFonts w:ascii="Garamond" w:hAnsi="Garamond"/>
          <w:bCs/>
          <w:sz w:val="24"/>
        </w:rPr>
      </w:pPr>
    </w:p>
    <w:p w14:paraId="656773C0" w14:textId="77777777" w:rsidR="00C25DC3" w:rsidRDefault="00C25DC3" w:rsidP="00C25DC3">
      <w:pPr>
        <w:tabs>
          <w:tab w:val="left" w:pos="0"/>
        </w:tabs>
        <w:spacing w:after="0"/>
        <w:rPr>
          <w:rFonts w:ascii="Garamond" w:hAnsi="Garamond"/>
          <w:bCs/>
          <w:sz w:val="24"/>
        </w:rPr>
      </w:pPr>
    </w:p>
    <w:p w14:paraId="01590103" w14:textId="77777777" w:rsidR="005B5F87" w:rsidRDefault="005B5F87" w:rsidP="00C25DC3">
      <w:pPr>
        <w:tabs>
          <w:tab w:val="left" w:pos="0"/>
        </w:tabs>
        <w:spacing w:after="0"/>
        <w:rPr>
          <w:rFonts w:ascii="Garamond" w:hAnsi="Garamond"/>
          <w:bCs/>
          <w:sz w:val="24"/>
        </w:rPr>
      </w:pPr>
    </w:p>
    <w:p w14:paraId="652C4EDB" w14:textId="77777777" w:rsidR="005B5F87" w:rsidRPr="0080220E" w:rsidRDefault="005B5F87" w:rsidP="00C25DC3">
      <w:pPr>
        <w:tabs>
          <w:tab w:val="left" w:pos="0"/>
        </w:tabs>
        <w:spacing w:after="0"/>
        <w:rPr>
          <w:rFonts w:ascii="Garamond" w:hAnsi="Garamond"/>
          <w:bCs/>
          <w:sz w:val="24"/>
        </w:rPr>
      </w:pPr>
    </w:p>
    <w:p w14:paraId="4CD070C7" w14:textId="77777777" w:rsidR="00C25DC3" w:rsidRPr="0080220E" w:rsidRDefault="00C25DC3" w:rsidP="00C25DC3">
      <w:pPr>
        <w:tabs>
          <w:tab w:val="left" w:pos="0"/>
        </w:tabs>
        <w:spacing w:after="0"/>
        <w:rPr>
          <w:rFonts w:ascii="Garamond" w:hAnsi="Garamond"/>
          <w:bCs/>
          <w:sz w:val="24"/>
        </w:rPr>
      </w:pPr>
    </w:p>
    <w:p w14:paraId="73836EF0" w14:textId="77777777" w:rsidR="00C25DC3" w:rsidRDefault="00C25DC3" w:rsidP="00C25DC3">
      <w:pPr>
        <w:tabs>
          <w:tab w:val="left" w:pos="0"/>
        </w:tabs>
        <w:spacing w:after="0"/>
        <w:rPr>
          <w:rFonts w:ascii="Garamond" w:hAnsi="Garamond"/>
          <w:bCs/>
          <w:sz w:val="24"/>
        </w:rPr>
      </w:pPr>
    </w:p>
    <w:p w14:paraId="09EC15D5" w14:textId="77777777" w:rsidR="008E1BDE" w:rsidRDefault="008E1BDE" w:rsidP="00C25DC3">
      <w:pPr>
        <w:tabs>
          <w:tab w:val="left" w:pos="0"/>
        </w:tabs>
        <w:spacing w:after="0"/>
        <w:rPr>
          <w:rFonts w:ascii="Garamond" w:hAnsi="Garamond"/>
          <w:bCs/>
          <w:sz w:val="24"/>
        </w:rPr>
      </w:pPr>
    </w:p>
    <w:p w14:paraId="5875A018" w14:textId="77777777" w:rsidR="008E1BDE" w:rsidRDefault="008E1BDE" w:rsidP="00C25DC3">
      <w:pPr>
        <w:tabs>
          <w:tab w:val="left" w:pos="0"/>
        </w:tabs>
        <w:spacing w:after="0"/>
        <w:rPr>
          <w:rFonts w:ascii="Garamond" w:hAnsi="Garamond"/>
          <w:bCs/>
          <w:sz w:val="24"/>
        </w:rPr>
      </w:pPr>
    </w:p>
    <w:p w14:paraId="0067A177" w14:textId="77777777" w:rsidR="008E1BDE" w:rsidRDefault="008E1BDE" w:rsidP="00C25DC3">
      <w:pPr>
        <w:tabs>
          <w:tab w:val="left" w:pos="0"/>
        </w:tabs>
        <w:spacing w:after="0"/>
        <w:rPr>
          <w:rFonts w:ascii="Garamond" w:hAnsi="Garamond"/>
          <w:bCs/>
          <w:sz w:val="24"/>
        </w:rPr>
      </w:pPr>
    </w:p>
    <w:p w14:paraId="4C16B2C5" w14:textId="77777777" w:rsidR="008E1BDE" w:rsidRDefault="008E1BDE" w:rsidP="00C25DC3">
      <w:pPr>
        <w:tabs>
          <w:tab w:val="left" w:pos="0"/>
        </w:tabs>
        <w:spacing w:after="0"/>
        <w:rPr>
          <w:rFonts w:ascii="Garamond" w:hAnsi="Garamond"/>
          <w:bCs/>
          <w:sz w:val="24"/>
        </w:rPr>
      </w:pPr>
    </w:p>
    <w:p w14:paraId="13931335" w14:textId="77777777" w:rsidR="008E1BDE" w:rsidRDefault="008E1BDE" w:rsidP="00C25DC3">
      <w:pPr>
        <w:tabs>
          <w:tab w:val="left" w:pos="0"/>
        </w:tabs>
        <w:spacing w:after="0"/>
        <w:rPr>
          <w:rFonts w:ascii="Garamond" w:hAnsi="Garamond"/>
          <w:bCs/>
          <w:sz w:val="24"/>
        </w:rPr>
      </w:pPr>
    </w:p>
    <w:p w14:paraId="3466807C" w14:textId="77777777" w:rsidR="008E1BDE" w:rsidRPr="0080220E" w:rsidRDefault="008E1BDE" w:rsidP="00C25DC3">
      <w:pPr>
        <w:tabs>
          <w:tab w:val="left" w:pos="0"/>
        </w:tabs>
        <w:spacing w:after="0"/>
        <w:rPr>
          <w:rFonts w:ascii="Garamond" w:hAnsi="Garamond"/>
          <w:bCs/>
          <w:sz w:val="24"/>
        </w:rPr>
      </w:pPr>
    </w:p>
    <w:p w14:paraId="1443D591" w14:textId="77777777" w:rsidR="00C25DC3" w:rsidRPr="00F622FF" w:rsidRDefault="00C25DC3" w:rsidP="00DA353D">
      <w:pPr>
        <w:pStyle w:val="Heading1"/>
      </w:pPr>
      <w:bookmarkStart w:id="22" w:name="_Toc370460207"/>
      <w:bookmarkStart w:id="23" w:name="_Toc40196438"/>
      <w:r w:rsidRPr="00F622FF">
        <w:lastRenderedPageBreak/>
        <w:t>Description of Energy Division Requirements for Determining PCC Classification Claims and the Auditable Package</w:t>
      </w:r>
      <w:bookmarkEnd w:id="22"/>
      <w:bookmarkEnd w:id="23"/>
    </w:p>
    <w:p w14:paraId="0964D034" w14:textId="5C9851C6" w:rsidR="00C25DC3" w:rsidRPr="0080220E" w:rsidRDefault="00C25DC3" w:rsidP="00C25DC3">
      <w:pPr>
        <w:spacing w:after="120"/>
        <w:rPr>
          <w:rFonts w:ascii="Garamond" w:hAnsi="Garamond"/>
          <w:bCs/>
          <w:sz w:val="24"/>
        </w:rPr>
      </w:pPr>
      <w:r w:rsidRPr="0080220E">
        <w:rPr>
          <w:rFonts w:ascii="Garamond" w:hAnsi="Garamond"/>
          <w:bCs/>
          <w:sz w:val="24"/>
        </w:rPr>
        <w:t>Retail sellers must provide detailed information to support each PCC claim for RECs retired</w:t>
      </w:r>
      <w:r w:rsidR="008E1BDE">
        <w:rPr>
          <w:rStyle w:val="FootnoteReference"/>
          <w:rFonts w:ascii="Garamond" w:hAnsi="Garamond"/>
          <w:bCs/>
          <w:sz w:val="24"/>
        </w:rPr>
        <w:footnoteReference w:id="4"/>
      </w:r>
      <w:r w:rsidRPr="0080220E">
        <w:rPr>
          <w:rFonts w:ascii="Garamond" w:hAnsi="Garamond"/>
          <w:bCs/>
          <w:sz w:val="24"/>
        </w:rPr>
        <w:t xml:space="preserve"> and reported in annual </w:t>
      </w:r>
      <w:r w:rsidR="008861D8">
        <w:rPr>
          <w:rFonts w:ascii="Garamond" w:hAnsi="Garamond"/>
          <w:bCs/>
          <w:sz w:val="24"/>
        </w:rPr>
        <w:t xml:space="preserve">and final </w:t>
      </w:r>
      <w:r w:rsidRPr="0080220E">
        <w:rPr>
          <w:rFonts w:ascii="Garamond" w:hAnsi="Garamond"/>
          <w:bCs/>
          <w:sz w:val="24"/>
        </w:rPr>
        <w:t xml:space="preserve">RPS </w:t>
      </w:r>
      <w:r w:rsidR="003F5642" w:rsidRPr="0080220E">
        <w:rPr>
          <w:rFonts w:ascii="Garamond" w:hAnsi="Garamond"/>
          <w:bCs/>
          <w:sz w:val="24"/>
        </w:rPr>
        <w:t>C</w:t>
      </w:r>
      <w:r w:rsidRPr="0080220E">
        <w:rPr>
          <w:rFonts w:ascii="Garamond" w:hAnsi="Garamond"/>
          <w:bCs/>
          <w:sz w:val="24"/>
        </w:rPr>
        <w:t xml:space="preserve">ompliance </w:t>
      </w:r>
      <w:r w:rsidR="003F5642" w:rsidRPr="0080220E">
        <w:rPr>
          <w:rFonts w:ascii="Garamond" w:hAnsi="Garamond"/>
          <w:bCs/>
          <w:sz w:val="24"/>
        </w:rPr>
        <w:t>R</w:t>
      </w:r>
      <w:r w:rsidRPr="0080220E">
        <w:rPr>
          <w:rFonts w:ascii="Garamond" w:hAnsi="Garamond"/>
          <w:bCs/>
          <w:sz w:val="24"/>
        </w:rPr>
        <w:t xml:space="preserve">eports.  In addition, retail sellers must </w:t>
      </w:r>
      <w:r w:rsidR="003F5642" w:rsidRPr="0080220E">
        <w:rPr>
          <w:rFonts w:ascii="Garamond" w:hAnsi="Garamond"/>
          <w:bCs/>
          <w:sz w:val="24"/>
        </w:rPr>
        <w:t>send</w:t>
      </w:r>
      <w:r w:rsidRPr="0080220E">
        <w:rPr>
          <w:rFonts w:ascii="Garamond" w:hAnsi="Garamond"/>
          <w:bCs/>
          <w:sz w:val="24"/>
        </w:rPr>
        <w:t xml:space="preserve"> WREGIS reports </w:t>
      </w:r>
      <w:r w:rsidR="003F5642" w:rsidRPr="0080220E">
        <w:rPr>
          <w:rFonts w:ascii="Garamond" w:hAnsi="Garamond"/>
          <w:bCs/>
          <w:sz w:val="24"/>
        </w:rPr>
        <w:t>to</w:t>
      </w:r>
      <w:r w:rsidRPr="0080220E">
        <w:rPr>
          <w:rFonts w:ascii="Garamond" w:hAnsi="Garamond"/>
          <w:bCs/>
          <w:sz w:val="24"/>
        </w:rPr>
        <w:t xml:space="preserve"> the Energy Division</w:t>
      </w:r>
      <w:r w:rsidR="003F5642" w:rsidRPr="0080220E">
        <w:rPr>
          <w:rFonts w:ascii="Garamond" w:hAnsi="Garamond"/>
          <w:bCs/>
          <w:sz w:val="24"/>
        </w:rPr>
        <w:t xml:space="preserve"> each year</w:t>
      </w:r>
      <w:r w:rsidRPr="0080220E">
        <w:rPr>
          <w:rFonts w:ascii="Garamond" w:hAnsi="Garamond"/>
          <w:bCs/>
          <w:sz w:val="24"/>
        </w:rPr>
        <w:t>.  Together, this create</w:t>
      </w:r>
      <w:r w:rsidR="003F5642" w:rsidRPr="0080220E">
        <w:rPr>
          <w:rFonts w:ascii="Garamond" w:hAnsi="Garamond"/>
          <w:bCs/>
          <w:sz w:val="24"/>
        </w:rPr>
        <w:t>s</w:t>
      </w:r>
      <w:r w:rsidRPr="0080220E">
        <w:rPr>
          <w:rFonts w:ascii="Garamond" w:hAnsi="Garamond"/>
          <w:bCs/>
          <w:sz w:val="24"/>
        </w:rPr>
        <w:t xml:space="preserve"> an “</w:t>
      </w:r>
      <w:r w:rsidR="0013749F" w:rsidRPr="0080220E">
        <w:rPr>
          <w:rFonts w:ascii="Garamond" w:hAnsi="Garamond"/>
          <w:bCs/>
          <w:sz w:val="24"/>
        </w:rPr>
        <w:t>A</w:t>
      </w:r>
      <w:r w:rsidRPr="0080220E">
        <w:rPr>
          <w:rFonts w:ascii="Garamond" w:hAnsi="Garamond"/>
          <w:bCs/>
          <w:sz w:val="24"/>
        </w:rPr>
        <w:t xml:space="preserve">uditable </w:t>
      </w:r>
      <w:r w:rsidR="0013749F" w:rsidRPr="0080220E">
        <w:rPr>
          <w:rFonts w:ascii="Garamond" w:hAnsi="Garamond"/>
          <w:bCs/>
          <w:sz w:val="24"/>
        </w:rPr>
        <w:t>P</w:t>
      </w:r>
      <w:r w:rsidRPr="0080220E">
        <w:rPr>
          <w:rFonts w:ascii="Garamond" w:hAnsi="Garamond"/>
          <w:bCs/>
          <w:sz w:val="24"/>
        </w:rPr>
        <w:t xml:space="preserve">ackage” for Energy Division staff to use in substantiating PCC claims of retail sellers and ultimately for determining RPS compliance. </w:t>
      </w:r>
      <w:r w:rsidR="0013749F" w:rsidRPr="0080220E">
        <w:rPr>
          <w:rFonts w:ascii="Garamond" w:hAnsi="Garamond"/>
          <w:bCs/>
          <w:sz w:val="24"/>
        </w:rPr>
        <w:t>Retail sellers are required to submit a Final Verified Compliance Report for each compliance period, 30 days after the California Energy Commission issues its Final Verification Report for Retail Sellers.</w:t>
      </w:r>
      <w:r w:rsidR="0013749F" w:rsidRPr="0080220E">
        <w:rPr>
          <w:rStyle w:val="FootnoteReference"/>
          <w:rFonts w:ascii="Garamond" w:hAnsi="Garamond"/>
          <w:bCs/>
          <w:sz w:val="24"/>
        </w:rPr>
        <w:footnoteReference w:id="5"/>
      </w:r>
    </w:p>
    <w:p w14:paraId="7B941B07" w14:textId="6560313A" w:rsidR="00C25DC3" w:rsidRPr="0080220E" w:rsidRDefault="00C25DC3" w:rsidP="00C25DC3">
      <w:pPr>
        <w:spacing w:after="120"/>
        <w:rPr>
          <w:rFonts w:ascii="Garamond" w:hAnsi="Garamond"/>
          <w:bCs/>
          <w:sz w:val="24"/>
        </w:rPr>
      </w:pPr>
      <w:r w:rsidRPr="0080220E">
        <w:rPr>
          <w:rFonts w:ascii="Garamond" w:hAnsi="Garamond"/>
          <w:bCs/>
          <w:sz w:val="24"/>
        </w:rPr>
        <w:t>The specific information required to complete the</w:t>
      </w:r>
      <w:r w:rsidR="003F5642" w:rsidRPr="0080220E">
        <w:rPr>
          <w:rFonts w:ascii="Garamond" w:hAnsi="Garamond"/>
          <w:bCs/>
          <w:sz w:val="24"/>
        </w:rPr>
        <w:t xml:space="preserve"> annual and final</w:t>
      </w:r>
      <w:r w:rsidRPr="0080220E">
        <w:rPr>
          <w:rFonts w:ascii="Garamond" w:hAnsi="Garamond"/>
          <w:bCs/>
          <w:sz w:val="24"/>
        </w:rPr>
        <w:t xml:space="preserve"> </w:t>
      </w:r>
      <w:r w:rsidR="003F5642" w:rsidRPr="0080220E">
        <w:rPr>
          <w:rFonts w:ascii="Garamond" w:hAnsi="Garamond"/>
          <w:bCs/>
          <w:sz w:val="24"/>
        </w:rPr>
        <w:t xml:space="preserve">compliance review </w:t>
      </w:r>
      <w:r w:rsidRPr="0080220E">
        <w:rPr>
          <w:rFonts w:ascii="Garamond" w:hAnsi="Garamond"/>
          <w:bCs/>
          <w:sz w:val="24"/>
        </w:rPr>
        <w:t xml:space="preserve">will depend on the PCC classification claimed by the retail seller, but consist of </w:t>
      </w:r>
      <w:r w:rsidR="003F5642" w:rsidRPr="0080220E">
        <w:rPr>
          <w:rFonts w:ascii="Garamond" w:hAnsi="Garamond"/>
          <w:bCs/>
          <w:sz w:val="24"/>
        </w:rPr>
        <w:t>the following</w:t>
      </w:r>
      <w:r w:rsidRPr="0080220E">
        <w:rPr>
          <w:rFonts w:ascii="Garamond" w:hAnsi="Garamond"/>
          <w:bCs/>
          <w:sz w:val="24"/>
        </w:rPr>
        <w:t xml:space="preserve"> reporting documents:</w:t>
      </w:r>
    </w:p>
    <w:p w14:paraId="7BDDC7F6" w14:textId="00730D5C" w:rsidR="00C25DC3" w:rsidRPr="0080220E" w:rsidRDefault="00C25DC3" w:rsidP="00C25DC3">
      <w:pPr>
        <w:numPr>
          <w:ilvl w:val="0"/>
          <w:numId w:val="31"/>
        </w:numPr>
        <w:spacing w:after="120"/>
        <w:rPr>
          <w:rFonts w:ascii="Garamond" w:hAnsi="Garamond"/>
          <w:bCs/>
          <w:sz w:val="24"/>
        </w:rPr>
      </w:pPr>
      <w:r w:rsidRPr="0080220E">
        <w:rPr>
          <w:rFonts w:ascii="Garamond" w:hAnsi="Garamond"/>
          <w:bCs/>
          <w:sz w:val="24"/>
        </w:rPr>
        <w:t xml:space="preserve">Energy Division RPS Compliance Report </w:t>
      </w:r>
      <w:r w:rsidR="006741F2" w:rsidRPr="0080220E">
        <w:rPr>
          <w:rFonts w:ascii="Garamond" w:hAnsi="Garamond"/>
          <w:bCs/>
          <w:sz w:val="24"/>
        </w:rPr>
        <w:t>(required)</w:t>
      </w:r>
    </w:p>
    <w:p w14:paraId="5828C5A6" w14:textId="6810CCD2" w:rsidR="00C25DC3" w:rsidRPr="0080220E" w:rsidRDefault="00C25DC3" w:rsidP="00C25DC3">
      <w:pPr>
        <w:numPr>
          <w:ilvl w:val="0"/>
          <w:numId w:val="31"/>
        </w:numPr>
        <w:spacing w:after="120"/>
        <w:rPr>
          <w:rFonts w:ascii="Garamond" w:hAnsi="Garamond"/>
          <w:bCs/>
          <w:sz w:val="24"/>
        </w:rPr>
      </w:pPr>
      <w:r w:rsidRPr="0080220E">
        <w:rPr>
          <w:rFonts w:ascii="Garamond" w:hAnsi="Garamond"/>
          <w:bCs/>
          <w:sz w:val="24"/>
        </w:rPr>
        <w:t xml:space="preserve">Energy Division Hourly Meter and e-Tag Reconciliation Report </w:t>
      </w:r>
      <w:r w:rsidR="003F5642" w:rsidRPr="0080220E">
        <w:rPr>
          <w:rFonts w:ascii="Garamond" w:hAnsi="Garamond"/>
          <w:bCs/>
          <w:sz w:val="24"/>
        </w:rPr>
        <w:t>(if applicable)</w:t>
      </w:r>
    </w:p>
    <w:p w14:paraId="2F335290" w14:textId="5293BBE6" w:rsidR="00C25DC3" w:rsidRPr="0080220E" w:rsidRDefault="003F5642" w:rsidP="00C25DC3">
      <w:pPr>
        <w:numPr>
          <w:ilvl w:val="0"/>
          <w:numId w:val="31"/>
        </w:numPr>
        <w:spacing w:after="120"/>
        <w:rPr>
          <w:rFonts w:ascii="Garamond" w:hAnsi="Garamond"/>
          <w:bCs/>
          <w:sz w:val="24"/>
        </w:rPr>
      </w:pPr>
      <w:r w:rsidRPr="0080220E">
        <w:rPr>
          <w:rFonts w:ascii="Garamond" w:hAnsi="Garamond"/>
          <w:bCs/>
          <w:sz w:val="24"/>
        </w:rPr>
        <w:t xml:space="preserve">Annual </w:t>
      </w:r>
      <w:r w:rsidR="00C25DC3" w:rsidRPr="0080220E">
        <w:rPr>
          <w:rFonts w:ascii="Garamond" w:hAnsi="Garamond"/>
          <w:bCs/>
          <w:sz w:val="24"/>
        </w:rPr>
        <w:t>WREGIS e-Tag Summary Report</w:t>
      </w:r>
      <w:r w:rsidR="00C25DC3" w:rsidRPr="0080220E">
        <w:rPr>
          <w:rStyle w:val="FootnoteReference"/>
          <w:rFonts w:ascii="Garamond" w:hAnsi="Garamond"/>
          <w:bCs/>
          <w:sz w:val="24"/>
        </w:rPr>
        <w:footnoteReference w:id="6"/>
      </w:r>
      <w:r w:rsidR="00C25DC3" w:rsidRPr="0080220E">
        <w:rPr>
          <w:rFonts w:ascii="Garamond" w:hAnsi="Garamond"/>
          <w:bCs/>
          <w:sz w:val="24"/>
        </w:rPr>
        <w:t xml:space="preserve"> and/or Energy Division RPS Hourly e-Tag Summary Report </w:t>
      </w:r>
      <w:r w:rsidR="006741F2" w:rsidRPr="0080220E">
        <w:rPr>
          <w:rFonts w:ascii="Garamond" w:hAnsi="Garamond"/>
          <w:bCs/>
          <w:sz w:val="24"/>
        </w:rPr>
        <w:t>(if applicable)</w:t>
      </w:r>
    </w:p>
    <w:p w14:paraId="5EF32F4F" w14:textId="66C18922" w:rsidR="00C25DC3" w:rsidRPr="0080220E" w:rsidRDefault="003F5642" w:rsidP="00C25DC3">
      <w:pPr>
        <w:numPr>
          <w:ilvl w:val="0"/>
          <w:numId w:val="31"/>
        </w:numPr>
        <w:spacing w:after="120"/>
        <w:rPr>
          <w:rFonts w:ascii="Garamond" w:hAnsi="Garamond"/>
          <w:bCs/>
          <w:sz w:val="24"/>
        </w:rPr>
      </w:pPr>
      <w:r w:rsidRPr="0080220E">
        <w:rPr>
          <w:rFonts w:ascii="Garamond" w:hAnsi="Garamond"/>
          <w:bCs/>
          <w:sz w:val="24"/>
        </w:rPr>
        <w:t xml:space="preserve">Annual </w:t>
      </w:r>
      <w:r w:rsidR="00C25DC3" w:rsidRPr="0080220E">
        <w:rPr>
          <w:rFonts w:ascii="Garamond" w:hAnsi="Garamond"/>
          <w:bCs/>
          <w:sz w:val="24"/>
        </w:rPr>
        <w:t>WREGIS Compliance Report</w:t>
      </w:r>
      <w:r w:rsidR="00C25DC3" w:rsidRPr="0080220E">
        <w:rPr>
          <w:rStyle w:val="FootnoteReference"/>
          <w:rFonts w:ascii="Garamond" w:hAnsi="Garamond"/>
          <w:bCs/>
          <w:sz w:val="24"/>
        </w:rPr>
        <w:footnoteReference w:id="7"/>
      </w:r>
      <w:r w:rsidR="006741F2" w:rsidRPr="0080220E">
        <w:rPr>
          <w:rFonts w:ascii="Garamond" w:hAnsi="Garamond"/>
          <w:bCs/>
          <w:sz w:val="24"/>
        </w:rPr>
        <w:t xml:space="preserve"> (required)</w:t>
      </w:r>
    </w:p>
    <w:p w14:paraId="3434E6B9" w14:textId="47B99451" w:rsidR="00061893" w:rsidRPr="0080220E" w:rsidRDefault="00061893" w:rsidP="00C25DC3">
      <w:pPr>
        <w:numPr>
          <w:ilvl w:val="0"/>
          <w:numId w:val="31"/>
        </w:numPr>
        <w:spacing w:after="120"/>
        <w:rPr>
          <w:rFonts w:ascii="Garamond" w:hAnsi="Garamond"/>
          <w:bCs/>
          <w:sz w:val="24"/>
        </w:rPr>
      </w:pPr>
      <w:r w:rsidRPr="0080220E">
        <w:rPr>
          <w:rFonts w:ascii="Garamond" w:hAnsi="Garamond"/>
          <w:bCs/>
          <w:sz w:val="24"/>
        </w:rPr>
        <w:t xml:space="preserve">RPS Procurement Contracts </w:t>
      </w:r>
      <w:r w:rsidR="006741F2" w:rsidRPr="0080220E">
        <w:rPr>
          <w:rFonts w:ascii="Garamond" w:hAnsi="Garamond"/>
          <w:bCs/>
          <w:sz w:val="24"/>
        </w:rPr>
        <w:t xml:space="preserve">(required) </w:t>
      </w:r>
    </w:p>
    <w:p w14:paraId="357BC397" w14:textId="77777777" w:rsidR="00C02FD5" w:rsidRPr="0080220E" w:rsidRDefault="00C02FD5" w:rsidP="00DA353D">
      <w:pPr>
        <w:spacing w:after="120"/>
        <w:ind w:left="720"/>
        <w:rPr>
          <w:rFonts w:ascii="Garamond" w:hAnsi="Garamond"/>
          <w:bCs/>
          <w:sz w:val="24"/>
        </w:rPr>
      </w:pPr>
    </w:p>
    <w:p w14:paraId="46E49F66" w14:textId="5AAA2D25" w:rsidR="00C25DC3" w:rsidRPr="00DA353D" w:rsidRDefault="00C25DC3" w:rsidP="00DA353D">
      <w:pPr>
        <w:pStyle w:val="Heading2"/>
      </w:pPr>
      <w:bookmarkStart w:id="24" w:name="_Toc40196144"/>
      <w:bookmarkStart w:id="25" w:name="_Toc40196169"/>
      <w:bookmarkStart w:id="26" w:name="_Toc40196409"/>
      <w:bookmarkStart w:id="27" w:name="_Toc40196439"/>
      <w:bookmarkStart w:id="28" w:name="_Toc370460208"/>
      <w:bookmarkStart w:id="29" w:name="_Toc40196440"/>
      <w:bookmarkEnd w:id="24"/>
      <w:bookmarkEnd w:id="25"/>
      <w:bookmarkEnd w:id="26"/>
      <w:bookmarkEnd w:id="27"/>
      <w:r w:rsidRPr="00DA353D">
        <w:t>RPS Compliance Report</w:t>
      </w:r>
      <w:r w:rsidR="000C51D4" w:rsidRPr="00DA353D">
        <w:t>,</w:t>
      </w:r>
      <w:r w:rsidRPr="00DA353D">
        <w:t xml:space="preserve"> </w:t>
      </w:r>
      <w:bookmarkEnd w:id="28"/>
      <w:r w:rsidR="00061893" w:rsidRPr="00DA353D">
        <w:t xml:space="preserve">Contract Details </w:t>
      </w:r>
      <w:r w:rsidR="00B0778E" w:rsidRPr="00DA353D">
        <w:t>T</w:t>
      </w:r>
      <w:r w:rsidR="00061893" w:rsidRPr="00DA353D">
        <w:t>ab</w:t>
      </w:r>
      <w:bookmarkEnd w:id="29"/>
    </w:p>
    <w:p w14:paraId="45EDBCD9" w14:textId="3CDFFCA0" w:rsidR="00061893" w:rsidRPr="0080220E" w:rsidRDefault="00C25DC3" w:rsidP="00C25DC3">
      <w:pPr>
        <w:spacing w:after="120"/>
        <w:rPr>
          <w:rFonts w:ascii="Garamond" w:hAnsi="Garamond"/>
          <w:bCs/>
          <w:sz w:val="24"/>
        </w:rPr>
      </w:pPr>
      <w:r w:rsidRPr="0080220E">
        <w:rPr>
          <w:rFonts w:ascii="Garamond" w:hAnsi="Garamond"/>
          <w:bCs/>
          <w:sz w:val="24"/>
        </w:rPr>
        <w:t xml:space="preserve">As part of the </w:t>
      </w:r>
      <w:r w:rsidR="00061893" w:rsidRPr="0080220E">
        <w:rPr>
          <w:rFonts w:ascii="Garamond" w:hAnsi="Garamond"/>
          <w:bCs/>
          <w:sz w:val="24"/>
        </w:rPr>
        <w:t>RPS Compliance Report</w:t>
      </w:r>
      <w:r w:rsidRPr="0080220E">
        <w:rPr>
          <w:rFonts w:ascii="Garamond" w:hAnsi="Garamond"/>
          <w:bCs/>
          <w:sz w:val="24"/>
        </w:rPr>
        <w:t xml:space="preserve">, retail sellers must report contract information, regardless of the PCC classification, to the Energy Division staff in the </w:t>
      </w:r>
      <w:r w:rsidR="00B0778E" w:rsidRPr="0080220E">
        <w:rPr>
          <w:rFonts w:ascii="Garamond" w:hAnsi="Garamond"/>
          <w:bCs/>
          <w:sz w:val="24"/>
        </w:rPr>
        <w:t>“</w:t>
      </w:r>
      <w:r w:rsidR="00061893" w:rsidRPr="0080220E">
        <w:rPr>
          <w:rFonts w:ascii="Garamond" w:hAnsi="Garamond"/>
          <w:bCs/>
          <w:sz w:val="24"/>
        </w:rPr>
        <w:t>Contract Details</w:t>
      </w:r>
      <w:r w:rsidR="00B0778E" w:rsidRPr="0080220E">
        <w:rPr>
          <w:rFonts w:ascii="Garamond" w:hAnsi="Garamond"/>
          <w:bCs/>
          <w:sz w:val="24"/>
        </w:rPr>
        <w:t>”</w:t>
      </w:r>
      <w:r w:rsidRPr="0080220E">
        <w:rPr>
          <w:rFonts w:ascii="Garamond" w:hAnsi="Garamond"/>
          <w:bCs/>
          <w:sz w:val="24"/>
        </w:rPr>
        <w:t xml:space="preserve"> tab found in the RPS Compliance Report</w:t>
      </w:r>
      <w:r w:rsidR="00DD1C7F" w:rsidRPr="0080220E">
        <w:rPr>
          <w:rFonts w:ascii="Garamond" w:hAnsi="Garamond"/>
          <w:bCs/>
          <w:sz w:val="24"/>
        </w:rPr>
        <w:t xml:space="preserve"> template</w:t>
      </w:r>
      <w:r w:rsidRPr="0080220E">
        <w:rPr>
          <w:rFonts w:ascii="Garamond" w:hAnsi="Garamond"/>
          <w:bCs/>
          <w:sz w:val="24"/>
        </w:rPr>
        <w:t>.</w:t>
      </w:r>
      <w:r w:rsidRPr="0080220E">
        <w:rPr>
          <w:rStyle w:val="FootnoteReference"/>
          <w:rFonts w:ascii="Garamond" w:hAnsi="Garamond"/>
          <w:bCs/>
          <w:sz w:val="24"/>
        </w:rPr>
        <w:footnoteReference w:id="8"/>
      </w:r>
      <w:r w:rsidRPr="0080220E">
        <w:rPr>
          <w:rFonts w:ascii="Garamond" w:hAnsi="Garamond"/>
          <w:bCs/>
          <w:sz w:val="24"/>
        </w:rPr>
        <w:t xml:space="preserve">  </w:t>
      </w:r>
      <w:r w:rsidR="00B0778E" w:rsidRPr="0080220E">
        <w:rPr>
          <w:rFonts w:ascii="Garamond" w:hAnsi="Garamond"/>
          <w:bCs/>
          <w:sz w:val="24"/>
        </w:rPr>
        <w:t xml:space="preserve">The Contract Details tab replaces the previous Static Contract Information tab/spreadsheet in its entirety. </w:t>
      </w:r>
    </w:p>
    <w:p w14:paraId="4BC3D46F" w14:textId="7BC908BF" w:rsidR="00C25DC3" w:rsidRPr="0080220E" w:rsidRDefault="00C25DC3" w:rsidP="00C25DC3">
      <w:pPr>
        <w:spacing w:after="120"/>
        <w:rPr>
          <w:rFonts w:ascii="Garamond" w:hAnsi="Garamond"/>
          <w:bCs/>
          <w:sz w:val="24"/>
        </w:rPr>
      </w:pPr>
      <w:r w:rsidRPr="0080220E">
        <w:rPr>
          <w:rFonts w:ascii="Garamond" w:hAnsi="Garamond"/>
          <w:bCs/>
          <w:sz w:val="24"/>
        </w:rPr>
        <w:t xml:space="preserve">Energy Division staff will verify </w:t>
      </w:r>
      <w:r w:rsidR="00061893" w:rsidRPr="0080220E">
        <w:rPr>
          <w:rFonts w:ascii="Garamond" w:hAnsi="Garamond"/>
          <w:bCs/>
          <w:sz w:val="24"/>
        </w:rPr>
        <w:t>procurement</w:t>
      </w:r>
      <w:r w:rsidRPr="0080220E">
        <w:rPr>
          <w:rFonts w:ascii="Garamond" w:hAnsi="Garamond"/>
          <w:bCs/>
          <w:sz w:val="24"/>
        </w:rPr>
        <w:t xml:space="preserve"> information </w:t>
      </w:r>
      <w:r w:rsidR="00061893" w:rsidRPr="0080220E">
        <w:rPr>
          <w:rFonts w:ascii="Garamond" w:hAnsi="Garamond"/>
          <w:bCs/>
          <w:sz w:val="24"/>
        </w:rPr>
        <w:t xml:space="preserve">reported in the Contract Details tab </w:t>
      </w:r>
      <w:r w:rsidRPr="0080220E">
        <w:rPr>
          <w:rFonts w:ascii="Garamond" w:hAnsi="Garamond"/>
          <w:bCs/>
          <w:sz w:val="24"/>
        </w:rPr>
        <w:t>by reviewing</w:t>
      </w:r>
      <w:r w:rsidR="00061893" w:rsidRPr="0080220E">
        <w:rPr>
          <w:rFonts w:ascii="Garamond" w:hAnsi="Garamond"/>
          <w:bCs/>
          <w:sz w:val="24"/>
        </w:rPr>
        <w:t xml:space="preserve"> contracts</w:t>
      </w:r>
      <w:r w:rsidRPr="0080220E">
        <w:rPr>
          <w:rFonts w:ascii="Garamond" w:hAnsi="Garamond"/>
          <w:bCs/>
          <w:sz w:val="24"/>
        </w:rPr>
        <w:t xml:space="preserve"> submitted to Energy Division. Depending on the PCC classification claimed by the </w:t>
      </w:r>
      <w:r w:rsidR="00D747E4" w:rsidRPr="0080220E">
        <w:rPr>
          <w:rFonts w:ascii="Garamond" w:hAnsi="Garamond"/>
          <w:bCs/>
          <w:sz w:val="24"/>
        </w:rPr>
        <w:t>r</w:t>
      </w:r>
      <w:r w:rsidRPr="0080220E">
        <w:rPr>
          <w:rFonts w:ascii="Garamond" w:hAnsi="Garamond"/>
          <w:bCs/>
          <w:sz w:val="24"/>
        </w:rPr>
        <w:t xml:space="preserve">etail Seller, Energy Division staff will require the review of RPS procurement contracts, interconnection agreements, dynamic scheduling agreements, and/or pseudo tie agreements.  </w:t>
      </w:r>
      <w:r w:rsidRPr="0080220E">
        <w:rPr>
          <w:rFonts w:ascii="Garamond" w:hAnsi="Garamond" w:cs="Arial"/>
          <w:bCs/>
          <w:sz w:val="24"/>
        </w:rPr>
        <w:t xml:space="preserve">Retail </w:t>
      </w:r>
      <w:r w:rsidRPr="0080220E">
        <w:rPr>
          <w:rFonts w:ascii="Garamond" w:hAnsi="Garamond" w:cs="Arial"/>
          <w:bCs/>
          <w:sz w:val="24"/>
        </w:rPr>
        <w:lastRenderedPageBreak/>
        <w:t xml:space="preserve">sellers must update the Contract </w:t>
      </w:r>
      <w:r w:rsidR="001E3A38" w:rsidRPr="0080220E">
        <w:rPr>
          <w:rFonts w:ascii="Garamond" w:hAnsi="Garamond" w:cs="Arial"/>
          <w:bCs/>
          <w:sz w:val="24"/>
        </w:rPr>
        <w:t>Details tab</w:t>
      </w:r>
      <w:r w:rsidRPr="0080220E">
        <w:rPr>
          <w:rFonts w:ascii="Garamond" w:hAnsi="Garamond" w:cs="Arial"/>
          <w:bCs/>
          <w:sz w:val="24"/>
        </w:rPr>
        <w:t xml:space="preserve"> if any existing procurement contract is amended in a manner that may impact the PCC classification of RECs procured from that contract or facility.</w:t>
      </w:r>
      <w:r w:rsidRPr="0080220E">
        <w:rPr>
          <w:rFonts w:ascii="Garamond" w:hAnsi="Garamond"/>
          <w:bCs/>
          <w:sz w:val="24"/>
        </w:rPr>
        <w:t xml:space="preserve">  </w:t>
      </w:r>
    </w:p>
    <w:p w14:paraId="32B991FF" w14:textId="6CEF8440" w:rsidR="00C25DC3" w:rsidRPr="0080220E" w:rsidRDefault="00C25DC3" w:rsidP="00C25DC3">
      <w:pPr>
        <w:spacing w:after="120"/>
        <w:rPr>
          <w:rFonts w:ascii="Garamond" w:hAnsi="Garamond"/>
          <w:bCs/>
          <w:sz w:val="24"/>
        </w:rPr>
      </w:pPr>
      <w:r w:rsidRPr="0080220E">
        <w:rPr>
          <w:rFonts w:ascii="Garamond" w:hAnsi="Garamond"/>
          <w:bCs/>
          <w:sz w:val="24"/>
        </w:rPr>
        <w:t xml:space="preserve">Retail sellers are required to provide the following information in the Contract </w:t>
      </w:r>
      <w:r w:rsidR="001E3A38" w:rsidRPr="0080220E">
        <w:rPr>
          <w:rFonts w:ascii="Garamond" w:hAnsi="Garamond"/>
          <w:bCs/>
          <w:sz w:val="24"/>
        </w:rPr>
        <w:t>Details</w:t>
      </w:r>
      <w:r w:rsidRPr="0080220E">
        <w:rPr>
          <w:rFonts w:ascii="Garamond" w:hAnsi="Garamond"/>
          <w:bCs/>
          <w:sz w:val="24"/>
        </w:rPr>
        <w:t xml:space="preserve"> </w:t>
      </w:r>
      <w:r w:rsidR="001E3A38" w:rsidRPr="0080220E">
        <w:rPr>
          <w:rFonts w:ascii="Garamond" w:hAnsi="Garamond"/>
          <w:bCs/>
          <w:sz w:val="24"/>
        </w:rPr>
        <w:t xml:space="preserve">tab of the RPS Compliance Report </w:t>
      </w:r>
      <w:r w:rsidRPr="0080220E">
        <w:rPr>
          <w:rFonts w:ascii="Garamond" w:hAnsi="Garamond"/>
          <w:bCs/>
          <w:sz w:val="24"/>
        </w:rPr>
        <w:t>spreadsheet:</w:t>
      </w:r>
      <w:r w:rsidR="00914686" w:rsidRPr="0080220E">
        <w:rPr>
          <w:rStyle w:val="FootnoteReference"/>
          <w:rFonts w:ascii="Garamond" w:hAnsi="Garamond"/>
          <w:bCs/>
          <w:sz w:val="24"/>
        </w:rPr>
        <w:t xml:space="preserve"> </w:t>
      </w:r>
      <w:r w:rsidR="00914686" w:rsidRPr="0080220E">
        <w:rPr>
          <w:rStyle w:val="FootnoteReference"/>
          <w:rFonts w:ascii="Garamond" w:hAnsi="Garamond"/>
          <w:bCs/>
          <w:sz w:val="24"/>
        </w:rPr>
        <w:footnoteReference w:id="9"/>
      </w:r>
    </w:p>
    <w:p w14:paraId="722821D3" w14:textId="717D8B45" w:rsidR="00A44D48" w:rsidRPr="0080220E" w:rsidRDefault="00A44D48" w:rsidP="00C25DC3">
      <w:pPr>
        <w:numPr>
          <w:ilvl w:val="0"/>
          <w:numId w:val="11"/>
        </w:numPr>
        <w:spacing w:after="120"/>
        <w:rPr>
          <w:rFonts w:ascii="Garamond" w:hAnsi="Garamond"/>
          <w:bCs/>
          <w:sz w:val="24"/>
        </w:rPr>
      </w:pPr>
      <w:r w:rsidRPr="00DA353D">
        <w:rPr>
          <w:rFonts w:ascii="Garamond" w:hAnsi="Garamond"/>
          <w:b/>
          <w:sz w:val="24"/>
        </w:rPr>
        <w:t>LSE ID</w:t>
      </w:r>
      <w:r w:rsidR="007D6D6F">
        <w:rPr>
          <w:rFonts w:ascii="Garamond" w:hAnsi="Garamond"/>
          <w:b/>
          <w:sz w:val="24"/>
        </w:rPr>
        <w:t xml:space="preserve"> (Optional)</w:t>
      </w:r>
      <w:r w:rsidRPr="0080220E">
        <w:rPr>
          <w:rFonts w:ascii="Garamond" w:hAnsi="Garamond"/>
          <w:bCs/>
          <w:sz w:val="24"/>
        </w:rPr>
        <w:t>: Please input the retail seller’s internal ID number for the contract.  If the retail seller does not maintain internal tracking contract ID numbers, please input “N/A.”</w:t>
      </w:r>
    </w:p>
    <w:p w14:paraId="5F32450A" w14:textId="50392B71" w:rsidR="00A44D48" w:rsidRPr="0080220E" w:rsidRDefault="00A44D48" w:rsidP="00C25DC3">
      <w:pPr>
        <w:numPr>
          <w:ilvl w:val="0"/>
          <w:numId w:val="11"/>
        </w:numPr>
        <w:spacing w:after="120"/>
        <w:rPr>
          <w:rFonts w:ascii="Garamond" w:hAnsi="Garamond"/>
          <w:bCs/>
          <w:sz w:val="24"/>
        </w:rPr>
      </w:pPr>
      <w:r w:rsidRPr="00DA353D">
        <w:rPr>
          <w:rFonts w:ascii="Garamond" w:hAnsi="Garamond"/>
          <w:b/>
          <w:sz w:val="24"/>
        </w:rPr>
        <w:t>Reporting LSE Name</w:t>
      </w:r>
      <w:r w:rsidRPr="0080220E">
        <w:rPr>
          <w:rFonts w:ascii="Garamond" w:hAnsi="Garamond"/>
          <w:bCs/>
          <w:sz w:val="24"/>
        </w:rPr>
        <w:t xml:space="preserve">: Select the retail seller name from the drop-down list. </w:t>
      </w:r>
    </w:p>
    <w:p w14:paraId="61339739" w14:textId="77777777" w:rsidR="007C68C3" w:rsidRDefault="00A44D48" w:rsidP="00A44D48">
      <w:pPr>
        <w:numPr>
          <w:ilvl w:val="0"/>
          <w:numId w:val="11"/>
        </w:numPr>
        <w:spacing w:after="120"/>
        <w:rPr>
          <w:rFonts w:ascii="Garamond" w:hAnsi="Garamond"/>
          <w:bCs/>
          <w:sz w:val="24"/>
        </w:rPr>
      </w:pPr>
      <w:r w:rsidRPr="00DA353D">
        <w:rPr>
          <w:rFonts w:ascii="Garamond" w:hAnsi="Garamond"/>
          <w:b/>
          <w:sz w:val="24"/>
        </w:rPr>
        <w:t>RPS Contract ID</w:t>
      </w:r>
      <w:r w:rsidRPr="0080220E">
        <w:rPr>
          <w:rFonts w:ascii="Garamond" w:hAnsi="Garamond"/>
          <w:bCs/>
          <w:sz w:val="24"/>
        </w:rPr>
        <w:t xml:space="preserve">: Enter the unique identification number of the RPS contract using the formula provided by Energy Division. To create a new RPS Contract ID for each contract, follow this format: LSE name abbreviation as specified in the drop-down list of "Reporting LSE Name" + </w:t>
      </w:r>
      <w:r w:rsidR="00D22712" w:rsidRPr="0080220E">
        <w:rPr>
          <w:rFonts w:ascii="Garamond" w:hAnsi="Garamond"/>
          <w:bCs/>
          <w:sz w:val="24"/>
        </w:rPr>
        <w:t>5-digit</w:t>
      </w:r>
      <w:r w:rsidRPr="0080220E">
        <w:rPr>
          <w:rFonts w:ascii="Garamond" w:hAnsi="Garamond"/>
          <w:bCs/>
          <w:sz w:val="24"/>
        </w:rPr>
        <w:t xml:space="preserve"> numbers (sequential) starting with "Technology Code Number." The technology code numbers are based on the technology type and are assigned as follows: </w:t>
      </w:r>
    </w:p>
    <w:p w14:paraId="306547E7" w14:textId="65995461" w:rsidR="007C68C3" w:rsidRDefault="007C68C3" w:rsidP="008861D8">
      <w:pPr>
        <w:numPr>
          <w:ilvl w:val="1"/>
          <w:numId w:val="42"/>
        </w:numPr>
        <w:spacing w:after="120"/>
        <w:rPr>
          <w:rFonts w:ascii="Garamond" w:hAnsi="Garamond"/>
          <w:bCs/>
          <w:sz w:val="24"/>
        </w:rPr>
      </w:pPr>
      <w:r>
        <w:rPr>
          <w:rFonts w:ascii="Garamond" w:hAnsi="Garamond"/>
          <w:bCs/>
          <w:sz w:val="24"/>
        </w:rPr>
        <w:t xml:space="preserve">Biogas: </w:t>
      </w:r>
      <w:r w:rsidR="00A44D48" w:rsidRPr="0080220E">
        <w:rPr>
          <w:rFonts w:ascii="Garamond" w:hAnsi="Garamond"/>
          <w:bCs/>
          <w:sz w:val="24"/>
        </w:rPr>
        <w:t>Landfill Gas, Biogas</w:t>
      </w:r>
      <w:r>
        <w:rPr>
          <w:rFonts w:ascii="Garamond" w:hAnsi="Garamond"/>
          <w:bCs/>
          <w:sz w:val="24"/>
        </w:rPr>
        <w:t>:</w:t>
      </w:r>
      <w:r w:rsidR="00A44D48" w:rsidRPr="0080220E">
        <w:rPr>
          <w:rFonts w:ascii="Garamond" w:hAnsi="Garamond"/>
          <w:bCs/>
          <w:sz w:val="24"/>
        </w:rPr>
        <w:t xml:space="preserve"> Digester Gas</w:t>
      </w:r>
    </w:p>
    <w:p w14:paraId="42FF554C" w14:textId="7C5B7191" w:rsidR="007C68C3" w:rsidRDefault="00A44D48" w:rsidP="008861D8">
      <w:pPr>
        <w:numPr>
          <w:ilvl w:val="1"/>
          <w:numId w:val="42"/>
        </w:numPr>
        <w:spacing w:after="120"/>
        <w:rPr>
          <w:rFonts w:ascii="Garamond" w:hAnsi="Garamond"/>
          <w:bCs/>
          <w:sz w:val="24"/>
        </w:rPr>
      </w:pPr>
      <w:r w:rsidRPr="0080220E">
        <w:rPr>
          <w:rFonts w:ascii="Garamond" w:hAnsi="Garamond"/>
          <w:bCs/>
          <w:sz w:val="24"/>
        </w:rPr>
        <w:t>Biomass, Biodiesel, Muni Solid Waste</w:t>
      </w:r>
    </w:p>
    <w:p w14:paraId="14740519" w14:textId="10A9F6A1" w:rsidR="007C68C3" w:rsidRDefault="00A44D48" w:rsidP="008861D8">
      <w:pPr>
        <w:numPr>
          <w:ilvl w:val="1"/>
          <w:numId w:val="42"/>
        </w:numPr>
        <w:spacing w:after="120"/>
        <w:rPr>
          <w:rFonts w:ascii="Garamond" w:hAnsi="Garamond"/>
          <w:bCs/>
          <w:sz w:val="24"/>
        </w:rPr>
      </w:pPr>
      <w:r w:rsidRPr="0080220E">
        <w:rPr>
          <w:rFonts w:ascii="Garamond" w:hAnsi="Garamond"/>
          <w:bCs/>
          <w:sz w:val="24"/>
        </w:rPr>
        <w:t>Geothermal</w:t>
      </w:r>
    </w:p>
    <w:p w14:paraId="532F725A" w14:textId="0BFF9F5C" w:rsidR="007C68C3" w:rsidRDefault="00A44D48" w:rsidP="008861D8">
      <w:pPr>
        <w:numPr>
          <w:ilvl w:val="1"/>
          <w:numId w:val="42"/>
        </w:numPr>
        <w:spacing w:after="120"/>
        <w:rPr>
          <w:rFonts w:ascii="Garamond" w:hAnsi="Garamond"/>
          <w:bCs/>
          <w:sz w:val="24"/>
        </w:rPr>
      </w:pPr>
      <w:r w:rsidRPr="0080220E">
        <w:rPr>
          <w:rFonts w:ascii="Garamond" w:hAnsi="Garamond"/>
          <w:bCs/>
          <w:sz w:val="24"/>
        </w:rPr>
        <w:t>Small Hydro, Conduit Hydro, Ocean/Tidal</w:t>
      </w:r>
      <w:r w:rsidR="007C68C3">
        <w:rPr>
          <w:rFonts w:ascii="Garamond" w:hAnsi="Garamond"/>
          <w:bCs/>
          <w:sz w:val="24"/>
        </w:rPr>
        <w:t>, Water Supply/Conveyance</w:t>
      </w:r>
      <w:r w:rsidRPr="0080220E">
        <w:rPr>
          <w:rFonts w:ascii="Garamond" w:hAnsi="Garamond"/>
          <w:bCs/>
          <w:sz w:val="24"/>
        </w:rPr>
        <w:t xml:space="preserve"> </w:t>
      </w:r>
    </w:p>
    <w:p w14:paraId="446D9C16" w14:textId="33527759" w:rsidR="007C68C3" w:rsidRDefault="00A44D48" w:rsidP="008861D8">
      <w:pPr>
        <w:numPr>
          <w:ilvl w:val="1"/>
          <w:numId w:val="42"/>
        </w:numPr>
        <w:spacing w:after="120"/>
        <w:rPr>
          <w:rFonts w:ascii="Garamond" w:hAnsi="Garamond"/>
          <w:bCs/>
          <w:sz w:val="24"/>
        </w:rPr>
      </w:pPr>
      <w:r w:rsidRPr="0080220E">
        <w:rPr>
          <w:rFonts w:ascii="Garamond" w:hAnsi="Garamond"/>
          <w:bCs/>
          <w:sz w:val="24"/>
        </w:rPr>
        <w:t>Solar PV</w:t>
      </w:r>
    </w:p>
    <w:p w14:paraId="5DDCABC1" w14:textId="3FBB4270" w:rsidR="007C68C3" w:rsidRDefault="007C68C3" w:rsidP="008861D8">
      <w:pPr>
        <w:numPr>
          <w:ilvl w:val="1"/>
          <w:numId w:val="42"/>
        </w:numPr>
        <w:spacing w:after="120"/>
        <w:rPr>
          <w:rFonts w:ascii="Garamond" w:hAnsi="Garamond"/>
          <w:bCs/>
          <w:sz w:val="24"/>
        </w:rPr>
      </w:pPr>
      <w:r>
        <w:rPr>
          <w:rFonts w:ascii="Garamond" w:hAnsi="Garamond"/>
          <w:bCs/>
          <w:sz w:val="24"/>
        </w:rPr>
        <w:t xml:space="preserve">Solar Thermal </w:t>
      </w:r>
    </w:p>
    <w:p w14:paraId="5D7C244D" w14:textId="4DCA0339" w:rsidR="007C68C3" w:rsidRDefault="00A44D48" w:rsidP="008861D8">
      <w:pPr>
        <w:numPr>
          <w:ilvl w:val="1"/>
          <w:numId w:val="42"/>
        </w:numPr>
        <w:spacing w:after="120"/>
        <w:rPr>
          <w:rFonts w:ascii="Garamond" w:hAnsi="Garamond"/>
          <w:bCs/>
          <w:sz w:val="24"/>
        </w:rPr>
      </w:pPr>
      <w:r w:rsidRPr="0080220E">
        <w:rPr>
          <w:rFonts w:ascii="Garamond" w:hAnsi="Garamond"/>
          <w:bCs/>
          <w:sz w:val="24"/>
        </w:rPr>
        <w:t xml:space="preserve">Wind </w:t>
      </w:r>
    </w:p>
    <w:p w14:paraId="7F582398" w14:textId="164FDBFB" w:rsidR="007C68C3" w:rsidRDefault="00A44D48" w:rsidP="008861D8">
      <w:pPr>
        <w:numPr>
          <w:ilvl w:val="1"/>
          <w:numId w:val="42"/>
        </w:numPr>
        <w:spacing w:after="120"/>
        <w:rPr>
          <w:rFonts w:ascii="Garamond" w:hAnsi="Garamond"/>
          <w:bCs/>
          <w:sz w:val="24"/>
        </w:rPr>
      </w:pPr>
      <w:r w:rsidRPr="0080220E">
        <w:rPr>
          <w:rFonts w:ascii="Garamond" w:hAnsi="Garamond"/>
          <w:bCs/>
          <w:sz w:val="24"/>
        </w:rPr>
        <w:t xml:space="preserve">REC Only </w:t>
      </w:r>
    </w:p>
    <w:p w14:paraId="733D7522" w14:textId="516776CF" w:rsidR="007C68C3" w:rsidRDefault="007C68C3" w:rsidP="008861D8">
      <w:pPr>
        <w:numPr>
          <w:ilvl w:val="1"/>
          <w:numId w:val="42"/>
        </w:numPr>
        <w:spacing w:after="120"/>
        <w:rPr>
          <w:rFonts w:ascii="Garamond" w:hAnsi="Garamond"/>
          <w:bCs/>
          <w:sz w:val="24"/>
        </w:rPr>
      </w:pPr>
      <w:r>
        <w:rPr>
          <w:rFonts w:ascii="Garamond" w:hAnsi="Garamond"/>
          <w:bCs/>
          <w:sz w:val="24"/>
        </w:rPr>
        <w:t>Multiple Types</w:t>
      </w:r>
    </w:p>
    <w:p w14:paraId="60ED98B6" w14:textId="330496BB" w:rsidR="007C68C3" w:rsidRDefault="007C68C3" w:rsidP="008861D8">
      <w:pPr>
        <w:numPr>
          <w:ilvl w:val="1"/>
          <w:numId w:val="42"/>
        </w:numPr>
        <w:spacing w:after="120"/>
        <w:rPr>
          <w:rFonts w:ascii="Garamond" w:hAnsi="Garamond"/>
          <w:bCs/>
          <w:sz w:val="24"/>
        </w:rPr>
      </w:pPr>
      <w:r>
        <w:rPr>
          <w:rFonts w:ascii="Garamond" w:hAnsi="Garamond"/>
          <w:bCs/>
          <w:sz w:val="24"/>
        </w:rPr>
        <w:t xml:space="preserve">Fuel Cell </w:t>
      </w:r>
    </w:p>
    <w:p w14:paraId="371A3D23" w14:textId="079DFE9C" w:rsidR="00A44D48" w:rsidRDefault="00A44D48" w:rsidP="00C32CC5">
      <w:pPr>
        <w:numPr>
          <w:ilvl w:val="1"/>
          <w:numId w:val="11"/>
        </w:numPr>
        <w:spacing w:after="120"/>
        <w:rPr>
          <w:rFonts w:ascii="Garamond" w:hAnsi="Garamond"/>
          <w:bCs/>
          <w:sz w:val="24"/>
        </w:rPr>
      </w:pPr>
      <w:r w:rsidRPr="0080220E">
        <w:rPr>
          <w:rFonts w:ascii="Garamond" w:hAnsi="Garamond"/>
          <w:bCs/>
          <w:sz w:val="24"/>
        </w:rPr>
        <w:t>Examples: PG&amp;E Geothermal project: PG30045; SCE Wind project: SC70011; SDG&amp;E Solar PV project: SD50001. This is a required field</w:t>
      </w:r>
      <w:r w:rsidR="00F10403">
        <w:rPr>
          <w:rFonts w:ascii="Garamond" w:hAnsi="Garamond"/>
          <w:bCs/>
          <w:sz w:val="24"/>
        </w:rPr>
        <w:t xml:space="preserve"> for all procurement reported</w:t>
      </w:r>
      <w:r w:rsidRPr="0080220E">
        <w:rPr>
          <w:rFonts w:ascii="Garamond" w:hAnsi="Garamond"/>
          <w:bCs/>
          <w:sz w:val="24"/>
        </w:rPr>
        <w:t xml:space="preserve">. </w:t>
      </w:r>
    </w:p>
    <w:p w14:paraId="2693320E" w14:textId="61DBE9A8" w:rsidR="009A1069" w:rsidRDefault="009A1069">
      <w:pPr>
        <w:numPr>
          <w:ilvl w:val="1"/>
          <w:numId w:val="11"/>
        </w:numPr>
        <w:spacing w:after="120"/>
        <w:rPr>
          <w:rFonts w:ascii="Garamond" w:hAnsi="Garamond"/>
          <w:bCs/>
          <w:sz w:val="24"/>
        </w:rPr>
      </w:pPr>
      <w:r>
        <w:rPr>
          <w:rFonts w:ascii="Garamond" w:hAnsi="Garamond"/>
          <w:bCs/>
          <w:sz w:val="24"/>
        </w:rPr>
        <w:t xml:space="preserve">For contract amendments or extensions, please add the corresponding amendment number to the end of the Contract ID. Examples: Pilot Power Group’s 5th Solar contract with one amendment: PPG50005-1. </w:t>
      </w:r>
    </w:p>
    <w:p w14:paraId="4C9FC3EC" w14:textId="60C1F53D" w:rsidR="009D3EF4" w:rsidRDefault="009D3EF4" w:rsidP="009D3EF4">
      <w:pPr>
        <w:numPr>
          <w:ilvl w:val="1"/>
          <w:numId w:val="11"/>
        </w:numPr>
        <w:spacing w:after="120"/>
        <w:rPr>
          <w:rFonts w:ascii="Garamond" w:hAnsi="Garamond"/>
          <w:bCs/>
          <w:sz w:val="24"/>
        </w:rPr>
      </w:pPr>
      <w:r w:rsidRPr="009D3EF4">
        <w:rPr>
          <w:rFonts w:ascii="Garamond" w:hAnsi="Garamond"/>
          <w:bCs/>
          <w:sz w:val="24"/>
        </w:rPr>
        <w:t xml:space="preserve">Once </w:t>
      </w:r>
      <w:r>
        <w:rPr>
          <w:rFonts w:ascii="Garamond" w:hAnsi="Garamond"/>
          <w:bCs/>
          <w:sz w:val="24"/>
        </w:rPr>
        <w:t xml:space="preserve">the RPS </w:t>
      </w:r>
      <w:r w:rsidRPr="009D3EF4">
        <w:rPr>
          <w:rFonts w:ascii="Garamond" w:hAnsi="Garamond"/>
          <w:bCs/>
          <w:sz w:val="24"/>
        </w:rPr>
        <w:t>Contract ID number has been generated, contracts must not be re-numbered. If the contract has stopped generating, LSEs should not re-number</w:t>
      </w:r>
      <w:r w:rsidR="00C52362">
        <w:rPr>
          <w:rFonts w:ascii="Garamond" w:hAnsi="Garamond"/>
          <w:bCs/>
          <w:sz w:val="24"/>
        </w:rPr>
        <w:t>,</w:t>
      </w:r>
      <w:r w:rsidRPr="009D3EF4">
        <w:rPr>
          <w:rFonts w:ascii="Garamond" w:hAnsi="Garamond"/>
          <w:bCs/>
          <w:sz w:val="24"/>
        </w:rPr>
        <w:t xml:space="preserve"> and </w:t>
      </w:r>
      <w:r w:rsidR="00C52362">
        <w:rPr>
          <w:rFonts w:ascii="Garamond" w:hAnsi="Garamond"/>
          <w:bCs/>
          <w:sz w:val="24"/>
        </w:rPr>
        <w:t xml:space="preserve">instead </w:t>
      </w:r>
      <w:r w:rsidRPr="009D3EF4">
        <w:rPr>
          <w:rFonts w:ascii="Garamond" w:hAnsi="Garamond"/>
          <w:bCs/>
          <w:sz w:val="24"/>
        </w:rPr>
        <w:t xml:space="preserve">keep </w:t>
      </w:r>
      <w:r w:rsidR="00C52362">
        <w:rPr>
          <w:rFonts w:ascii="Garamond" w:hAnsi="Garamond"/>
          <w:bCs/>
          <w:sz w:val="24"/>
        </w:rPr>
        <w:t>numbering</w:t>
      </w:r>
      <w:r w:rsidRPr="009D3EF4">
        <w:rPr>
          <w:rFonts w:ascii="Garamond" w:hAnsi="Garamond"/>
          <w:bCs/>
          <w:sz w:val="24"/>
        </w:rPr>
        <w:t xml:space="preserve"> in sequential order.</w:t>
      </w:r>
    </w:p>
    <w:p w14:paraId="7A264886" w14:textId="5A1BC80B" w:rsidR="00E30406" w:rsidRPr="0080220E" w:rsidRDefault="006B3B68" w:rsidP="009D3EF4">
      <w:pPr>
        <w:numPr>
          <w:ilvl w:val="1"/>
          <w:numId w:val="11"/>
        </w:numPr>
        <w:spacing w:after="120"/>
        <w:rPr>
          <w:rFonts w:ascii="Garamond" w:hAnsi="Garamond"/>
          <w:bCs/>
          <w:sz w:val="24"/>
        </w:rPr>
      </w:pPr>
      <w:r>
        <w:rPr>
          <w:rFonts w:ascii="Garamond" w:hAnsi="Garamond"/>
          <w:bCs/>
          <w:sz w:val="24"/>
        </w:rPr>
        <w:t xml:space="preserve">Non-IOU </w:t>
      </w:r>
      <w:r w:rsidR="00E30406">
        <w:rPr>
          <w:rFonts w:ascii="Garamond" w:hAnsi="Garamond"/>
          <w:bCs/>
          <w:sz w:val="24"/>
        </w:rPr>
        <w:t xml:space="preserve">LSEs </w:t>
      </w:r>
      <w:r w:rsidR="00B26253">
        <w:rPr>
          <w:rFonts w:ascii="Garamond" w:hAnsi="Garamond"/>
          <w:bCs/>
          <w:sz w:val="24"/>
        </w:rPr>
        <w:t>may</w:t>
      </w:r>
      <w:r w:rsidR="00E30406">
        <w:rPr>
          <w:rFonts w:ascii="Garamond" w:hAnsi="Garamond"/>
          <w:bCs/>
          <w:sz w:val="24"/>
        </w:rPr>
        <w:t xml:space="preserve"> use the RPS Contract ID Generator included in the </w:t>
      </w:r>
      <w:r w:rsidR="009B6E02">
        <w:rPr>
          <w:rFonts w:ascii="Garamond" w:hAnsi="Garamond"/>
          <w:bCs/>
          <w:sz w:val="24"/>
        </w:rPr>
        <w:t>“</w:t>
      </w:r>
      <w:r w:rsidR="005F729B">
        <w:rPr>
          <w:rFonts w:ascii="Garamond" w:hAnsi="Garamond"/>
          <w:bCs/>
          <w:sz w:val="24"/>
        </w:rPr>
        <w:t>Technical Documentation”</w:t>
      </w:r>
      <w:r w:rsidR="009B6E02">
        <w:rPr>
          <w:rFonts w:ascii="Garamond" w:hAnsi="Garamond"/>
          <w:bCs/>
          <w:sz w:val="24"/>
        </w:rPr>
        <w:t xml:space="preserve"> folder on the FTP site </w:t>
      </w:r>
      <w:r w:rsidR="00E30406">
        <w:rPr>
          <w:rFonts w:ascii="Garamond" w:hAnsi="Garamond"/>
          <w:bCs/>
          <w:sz w:val="24"/>
        </w:rPr>
        <w:t>to assist in the creation of the</w:t>
      </w:r>
      <w:r>
        <w:rPr>
          <w:rFonts w:ascii="Garamond" w:hAnsi="Garamond"/>
          <w:bCs/>
          <w:sz w:val="24"/>
        </w:rPr>
        <w:t xml:space="preserve">ir new </w:t>
      </w:r>
      <w:r w:rsidR="00E30406">
        <w:rPr>
          <w:rFonts w:ascii="Garamond" w:hAnsi="Garamond"/>
          <w:bCs/>
          <w:sz w:val="24"/>
        </w:rPr>
        <w:t xml:space="preserve">contract IDs.  </w:t>
      </w:r>
    </w:p>
    <w:p w14:paraId="2AFF26A0" w14:textId="1EC2A42D" w:rsidR="00C71EE2" w:rsidRPr="0080220E" w:rsidRDefault="00C71EE2" w:rsidP="00A44D48">
      <w:pPr>
        <w:numPr>
          <w:ilvl w:val="0"/>
          <w:numId w:val="11"/>
        </w:numPr>
        <w:spacing w:after="120"/>
        <w:rPr>
          <w:rFonts w:ascii="Garamond" w:hAnsi="Garamond"/>
          <w:bCs/>
          <w:sz w:val="24"/>
        </w:rPr>
      </w:pPr>
      <w:r w:rsidRPr="00DA353D">
        <w:rPr>
          <w:rFonts w:ascii="Garamond" w:hAnsi="Garamond"/>
          <w:b/>
          <w:sz w:val="24"/>
        </w:rPr>
        <w:lastRenderedPageBreak/>
        <w:t>Contract Execution Year:</w:t>
      </w:r>
      <w:r w:rsidRPr="0080220E">
        <w:rPr>
          <w:rFonts w:ascii="Garamond" w:hAnsi="Garamond"/>
          <w:bCs/>
          <w:sz w:val="24"/>
        </w:rPr>
        <w:t xml:space="preserve"> Select the year the contract was executed from the drop-down list. If the facility is utility</w:t>
      </w:r>
      <w:r w:rsidR="00397766">
        <w:rPr>
          <w:rFonts w:ascii="Garamond" w:hAnsi="Garamond"/>
          <w:bCs/>
          <w:sz w:val="24"/>
        </w:rPr>
        <w:t>-</w:t>
      </w:r>
      <w:r w:rsidRPr="0080220E">
        <w:rPr>
          <w:rFonts w:ascii="Garamond" w:hAnsi="Garamond"/>
          <w:bCs/>
          <w:sz w:val="24"/>
        </w:rPr>
        <w:t>owned</w:t>
      </w:r>
      <w:r w:rsidR="00397766">
        <w:rPr>
          <w:rFonts w:ascii="Garamond" w:hAnsi="Garamond"/>
          <w:bCs/>
          <w:sz w:val="24"/>
        </w:rPr>
        <w:t xml:space="preserve"> generation (UOG)</w:t>
      </w:r>
      <w:r w:rsidRPr="0080220E">
        <w:rPr>
          <w:rFonts w:ascii="Garamond" w:hAnsi="Garamond"/>
          <w:bCs/>
          <w:sz w:val="24"/>
        </w:rPr>
        <w:t xml:space="preserve">, input the date the ownership agreement was originally executed or when ownership began. Retail sellers must provide a copy of the contract agreement (e.g. </w:t>
      </w:r>
      <w:r w:rsidR="00060CC0">
        <w:rPr>
          <w:rFonts w:ascii="Garamond" w:hAnsi="Garamond"/>
          <w:bCs/>
          <w:sz w:val="24"/>
        </w:rPr>
        <w:t>electronic</w:t>
      </w:r>
      <w:r w:rsidRPr="0080220E">
        <w:rPr>
          <w:rFonts w:ascii="Garamond" w:hAnsi="Garamond"/>
          <w:bCs/>
          <w:sz w:val="24"/>
        </w:rPr>
        <w:t xml:space="preserve"> copy of contract/agreement) to demonstrate the contract execution date.</w:t>
      </w:r>
      <w:r w:rsidR="00397766">
        <w:rPr>
          <w:rFonts w:ascii="Garamond" w:hAnsi="Garamond"/>
          <w:bCs/>
          <w:sz w:val="24"/>
        </w:rPr>
        <w:t xml:space="preserve"> </w:t>
      </w:r>
      <w:r w:rsidR="00060CC0">
        <w:rPr>
          <w:rFonts w:ascii="Garamond" w:hAnsi="Garamond"/>
          <w:bCs/>
          <w:sz w:val="24"/>
        </w:rPr>
        <w:t>If the procurement originates from other programs such as Net Energy Metering (NEM) or Green Tariff Shared Renewables (GTSR)</w:t>
      </w:r>
      <w:r w:rsidR="008902CF">
        <w:rPr>
          <w:rFonts w:ascii="Garamond" w:hAnsi="Garamond"/>
          <w:bCs/>
          <w:sz w:val="24"/>
        </w:rPr>
        <w:t xml:space="preserve"> transfers</w:t>
      </w:r>
      <w:r w:rsidR="00060CC0">
        <w:rPr>
          <w:rFonts w:ascii="Garamond" w:hAnsi="Garamond"/>
          <w:bCs/>
          <w:sz w:val="24"/>
        </w:rPr>
        <w:t xml:space="preserve">, please select the first year </w:t>
      </w:r>
      <w:r w:rsidR="008902CF">
        <w:rPr>
          <w:rFonts w:ascii="Garamond" w:hAnsi="Garamond"/>
          <w:bCs/>
          <w:sz w:val="24"/>
        </w:rPr>
        <w:t>where the LSE received RECs under these program originations.</w:t>
      </w:r>
      <w:r w:rsidR="00060CC0">
        <w:rPr>
          <w:rFonts w:ascii="Garamond" w:hAnsi="Garamond"/>
          <w:bCs/>
          <w:sz w:val="24"/>
        </w:rPr>
        <w:t xml:space="preserve"> </w:t>
      </w:r>
    </w:p>
    <w:p w14:paraId="6B7E1CAD" w14:textId="0C8CC2F0" w:rsidR="00C25DC3" w:rsidRPr="0080220E" w:rsidRDefault="001D6FB0" w:rsidP="00546BA9">
      <w:pPr>
        <w:numPr>
          <w:ilvl w:val="0"/>
          <w:numId w:val="11"/>
        </w:numPr>
        <w:spacing w:after="120"/>
        <w:rPr>
          <w:rFonts w:ascii="Garamond" w:hAnsi="Garamond"/>
          <w:bCs/>
          <w:sz w:val="24"/>
        </w:rPr>
      </w:pPr>
      <w:r>
        <w:rPr>
          <w:rFonts w:ascii="Garamond" w:hAnsi="Garamond"/>
          <w:b/>
          <w:sz w:val="24"/>
        </w:rPr>
        <w:t>Contract</w:t>
      </w:r>
      <w:r w:rsidR="00136193">
        <w:rPr>
          <w:rFonts w:ascii="Garamond" w:hAnsi="Garamond"/>
          <w:b/>
          <w:sz w:val="24"/>
        </w:rPr>
        <w:t xml:space="preserve"> Name</w:t>
      </w:r>
      <w:r>
        <w:rPr>
          <w:rFonts w:ascii="Garamond" w:hAnsi="Garamond"/>
          <w:b/>
          <w:sz w:val="24"/>
        </w:rPr>
        <w:t xml:space="preserve"> </w:t>
      </w:r>
      <w:r w:rsidR="00136193">
        <w:rPr>
          <w:rFonts w:ascii="Garamond" w:hAnsi="Garamond"/>
          <w:b/>
          <w:sz w:val="24"/>
        </w:rPr>
        <w:t xml:space="preserve">or Facility </w:t>
      </w:r>
      <w:r w:rsidR="00C25DC3" w:rsidRPr="00DA353D">
        <w:rPr>
          <w:rFonts w:ascii="Garamond" w:hAnsi="Garamond"/>
          <w:b/>
          <w:sz w:val="24"/>
        </w:rPr>
        <w:t>Name</w:t>
      </w:r>
      <w:r w:rsidR="00C25DC3" w:rsidRPr="0080220E">
        <w:rPr>
          <w:rFonts w:ascii="Garamond" w:hAnsi="Garamond"/>
          <w:bCs/>
          <w:sz w:val="24"/>
        </w:rPr>
        <w:t xml:space="preserve">: </w:t>
      </w:r>
      <w:r>
        <w:rPr>
          <w:rFonts w:ascii="Garamond" w:hAnsi="Garamond"/>
          <w:bCs/>
          <w:sz w:val="24"/>
        </w:rPr>
        <w:t>If using Facility Name, i</w:t>
      </w:r>
      <w:r w:rsidR="00C25DC3" w:rsidRPr="0080220E">
        <w:rPr>
          <w:rFonts w:ascii="Garamond" w:hAnsi="Garamond"/>
          <w:bCs/>
          <w:sz w:val="24"/>
        </w:rPr>
        <w:t>ndicate the name of the facility</w:t>
      </w:r>
      <w:r>
        <w:rPr>
          <w:rFonts w:ascii="Garamond" w:hAnsi="Garamond"/>
          <w:bCs/>
          <w:sz w:val="24"/>
        </w:rPr>
        <w:t>, as specified on the CEC’s RPS facility search website,</w:t>
      </w:r>
      <w:r>
        <w:rPr>
          <w:rStyle w:val="FootnoteReference"/>
          <w:rFonts w:ascii="Garamond" w:hAnsi="Garamond"/>
          <w:bCs/>
          <w:sz w:val="24"/>
        </w:rPr>
        <w:footnoteReference w:id="10"/>
      </w:r>
      <w:r w:rsidR="00C25DC3" w:rsidRPr="0080220E">
        <w:rPr>
          <w:rFonts w:ascii="Garamond" w:hAnsi="Garamond"/>
          <w:bCs/>
          <w:sz w:val="24"/>
        </w:rPr>
        <w:t xml:space="preserve"> that generated the RECs that are being claimed for RPS compliance. If electricity products are purchased from a portfolio of assets, list all of the facilities. If the facilities are unknown, indicate unknown. </w:t>
      </w:r>
      <w:r>
        <w:rPr>
          <w:rFonts w:ascii="Garamond" w:hAnsi="Garamond"/>
          <w:bCs/>
          <w:sz w:val="24"/>
        </w:rPr>
        <w:t xml:space="preserve">If using Contract Name, </w:t>
      </w:r>
      <w:r w:rsidR="00374BF2">
        <w:rPr>
          <w:rFonts w:ascii="Garamond" w:hAnsi="Garamond"/>
          <w:bCs/>
          <w:sz w:val="24"/>
        </w:rPr>
        <w:t>please indicate the name of the contract as previously reported to the CPUC in prior Compliance Reports or the agreed upon contract name</w:t>
      </w:r>
      <w:r w:rsidR="00134D61">
        <w:rPr>
          <w:rFonts w:ascii="Garamond" w:hAnsi="Garamond"/>
          <w:bCs/>
          <w:sz w:val="24"/>
        </w:rPr>
        <w:t xml:space="preserve"> between contract counterparties.</w:t>
      </w:r>
    </w:p>
    <w:p w14:paraId="01426856" w14:textId="50380F92" w:rsidR="00C71EE2" w:rsidRPr="0080220E" w:rsidRDefault="00C71EE2" w:rsidP="00C25DC3">
      <w:pPr>
        <w:numPr>
          <w:ilvl w:val="0"/>
          <w:numId w:val="11"/>
        </w:numPr>
        <w:spacing w:after="120"/>
        <w:rPr>
          <w:rFonts w:ascii="Garamond" w:hAnsi="Garamond"/>
          <w:bCs/>
          <w:sz w:val="24"/>
        </w:rPr>
      </w:pPr>
      <w:r w:rsidRPr="00DA353D">
        <w:rPr>
          <w:rFonts w:ascii="Garamond" w:hAnsi="Garamond"/>
          <w:b/>
          <w:sz w:val="24"/>
        </w:rPr>
        <w:t>Contract Status</w:t>
      </w:r>
      <w:r w:rsidRPr="0080220E">
        <w:rPr>
          <w:rFonts w:ascii="Garamond" w:hAnsi="Garamond"/>
          <w:bCs/>
          <w:sz w:val="24"/>
        </w:rPr>
        <w:t xml:space="preserve">: </w:t>
      </w:r>
      <w:r w:rsidR="00546BA9" w:rsidRPr="0080220E">
        <w:rPr>
          <w:rFonts w:ascii="Garamond" w:hAnsi="Garamond"/>
          <w:bCs/>
          <w:sz w:val="24"/>
        </w:rPr>
        <w:t xml:space="preserve">Select the contract </w:t>
      </w:r>
      <w:r w:rsidR="008902CF">
        <w:rPr>
          <w:rFonts w:ascii="Garamond" w:hAnsi="Garamond"/>
          <w:bCs/>
          <w:sz w:val="24"/>
        </w:rPr>
        <w:t xml:space="preserve">or ownership agreement (UOG) </w:t>
      </w:r>
      <w:r w:rsidR="00546BA9" w:rsidRPr="0080220E">
        <w:rPr>
          <w:rFonts w:ascii="Garamond" w:hAnsi="Garamond"/>
          <w:bCs/>
          <w:sz w:val="24"/>
        </w:rPr>
        <w:t xml:space="preserve">status from the list of drop-down options. </w:t>
      </w:r>
      <w:r w:rsidR="008902CF">
        <w:rPr>
          <w:rFonts w:ascii="Garamond" w:hAnsi="Garamond"/>
          <w:bCs/>
          <w:sz w:val="24"/>
        </w:rPr>
        <w:t>For IOUs’ UOG, NEM and GTSR procurement, select “CPUC approved.”</w:t>
      </w:r>
    </w:p>
    <w:p w14:paraId="50126DEF" w14:textId="3F408570" w:rsidR="00C71EE2" w:rsidRPr="0080220E" w:rsidRDefault="00C71EE2" w:rsidP="00C71EE2">
      <w:pPr>
        <w:numPr>
          <w:ilvl w:val="0"/>
          <w:numId w:val="11"/>
        </w:numPr>
        <w:spacing w:after="120"/>
        <w:rPr>
          <w:rFonts w:ascii="Garamond" w:hAnsi="Garamond"/>
          <w:bCs/>
          <w:sz w:val="24"/>
        </w:rPr>
      </w:pPr>
      <w:r w:rsidRPr="00DA353D">
        <w:rPr>
          <w:rFonts w:ascii="Garamond" w:hAnsi="Garamond"/>
          <w:b/>
          <w:sz w:val="24"/>
        </w:rPr>
        <w:t>Facility Status</w:t>
      </w:r>
      <w:r w:rsidRPr="0080220E">
        <w:rPr>
          <w:rFonts w:ascii="Garamond" w:hAnsi="Garamond"/>
          <w:bCs/>
          <w:sz w:val="24"/>
        </w:rPr>
        <w:t xml:space="preserve">: Select the facility status (e.g. online, in development, etc.) </w:t>
      </w:r>
      <w:r w:rsidR="00546BA9" w:rsidRPr="0080220E">
        <w:rPr>
          <w:rFonts w:ascii="Garamond" w:hAnsi="Garamond"/>
          <w:bCs/>
          <w:sz w:val="24"/>
        </w:rPr>
        <w:t>of</w:t>
      </w:r>
      <w:r w:rsidRPr="0080220E">
        <w:rPr>
          <w:rFonts w:ascii="Garamond" w:hAnsi="Garamond"/>
          <w:bCs/>
          <w:sz w:val="24"/>
        </w:rPr>
        <w:t xml:space="preserve"> the project from drop-down options. </w:t>
      </w:r>
      <w:r w:rsidR="003804A6">
        <w:rPr>
          <w:rFonts w:ascii="Garamond" w:hAnsi="Garamond"/>
          <w:bCs/>
          <w:sz w:val="24"/>
        </w:rPr>
        <w:t>For IOUs’ UOG, NEM and GTSR procurement, select “Online.”</w:t>
      </w:r>
      <w:r w:rsidR="008A571B">
        <w:rPr>
          <w:rFonts w:ascii="Garamond" w:hAnsi="Garamond"/>
          <w:bCs/>
          <w:sz w:val="24"/>
        </w:rPr>
        <w:t xml:space="preserve"> For RPS Sales, select “Online.”</w:t>
      </w:r>
    </w:p>
    <w:p w14:paraId="6122F596" w14:textId="01AFF448" w:rsidR="00C71EE2" w:rsidRPr="0080220E" w:rsidRDefault="00C71EE2" w:rsidP="00C25DC3">
      <w:pPr>
        <w:numPr>
          <w:ilvl w:val="0"/>
          <w:numId w:val="11"/>
        </w:numPr>
        <w:spacing w:after="120"/>
        <w:rPr>
          <w:rFonts w:ascii="Garamond" w:hAnsi="Garamond"/>
          <w:bCs/>
          <w:sz w:val="24"/>
        </w:rPr>
      </w:pPr>
      <w:r w:rsidRPr="00DA353D">
        <w:rPr>
          <w:rFonts w:ascii="Garamond" w:hAnsi="Garamond"/>
          <w:b/>
          <w:sz w:val="24"/>
        </w:rPr>
        <w:t>Resource Type</w:t>
      </w:r>
      <w:r w:rsidRPr="0080220E">
        <w:rPr>
          <w:rFonts w:ascii="Garamond" w:hAnsi="Garamond"/>
          <w:bCs/>
          <w:sz w:val="24"/>
        </w:rPr>
        <w:t xml:space="preserve">: </w:t>
      </w:r>
      <w:r w:rsidR="00546BA9" w:rsidRPr="0080220E">
        <w:rPr>
          <w:rFonts w:ascii="Garamond" w:hAnsi="Garamond"/>
          <w:bCs/>
          <w:sz w:val="24"/>
        </w:rPr>
        <w:t xml:space="preserve">Select </w:t>
      </w:r>
      <w:r w:rsidR="009E3160">
        <w:rPr>
          <w:rFonts w:ascii="Garamond" w:hAnsi="Garamond"/>
          <w:bCs/>
          <w:sz w:val="24"/>
        </w:rPr>
        <w:t>the type of</w:t>
      </w:r>
      <w:r w:rsidR="00546BA9" w:rsidRPr="0080220E">
        <w:rPr>
          <w:rFonts w:ascii="Garamond" w:hAnsi="Garamond"/>
          <w:bCs/>
          <w:sz w:val="24"/>
        </w:rPr>
        <w:t xml:space="preserve"> RPS</w:t>
      </w:r>
      <w:r w:rsidR="009E3160">
        <w:rPr>
          <w:rFonts w:ascii="Garamond" w:hAnsi="Garamond"/>
          <w:bCs/>
          <w:sz w:val="24"/>
        </w:rPr>
        <w:t>-</w:t>
      </w:r>
      <w:r w:rsidR="00546BA9" w:rsidRPr="0080220E">
        <w:rPr>
          <w:rFonts w:ascii="Garamond" w:hAnsi="Garamond"/>
          <w:bCs/>
          <w:sz w:val="24"/>
        </w:rPr>
        <w:t xml:space="preserve">eligible </w:t>
      </w:r>
      <w:r w:rsidR="009E3160">
        <w:rPr>
          <w:rFonts w:ascii="Garamond" w:hAnsi="Garamond"/>
          <w:bCs/>
          <w:sz w:val="24"/>
        </w:rPr>
        <w:t>procurement</w:t>
      </w:r>
      <w:r w:rsidR="00546BA9" w:rsidRPr="0080220E">
        <w:rPr>
          <w:rFonts w:ascii="Garamond" w:hAnsi="Garamond"/>
          <w:bCs/>
          <w:sz w:val="24"/>
        </w:rPr>
        <w:t xml:space="preserve"> from the list of drop-down options. If </w:t>
      </w:r>
      <w:r w:rsidR="009E3160">
        <w:rPr>
          <w:rFonts w:ascii="Garamond" w:hAnsi="Garamond"/>
          <w:bCs/>
          <w:sz w:val="24"/>
        </w:rPr>
        <w:t>the contract has multiple technology types or an unknown technology type until the time of delivery, please select “</w:t>
      </w:r>
      <w:r w:rsidR="003D116D">
        <w:rPr>
          <w:rFonts w:ascii="Garamond" w:hAnsi="Garamond"/>
          <w:bCs/>
          <w:sz w:val="24"/>
        </w:rPr>
        <w:t>Multiple Types</w:t>
      </w:r>
      <w:r w:rsidR="009E3160">
        <w:rPr>
          <w:rFonts w:ascii="Garamond" w:hAnsi="Garamond"/>
          <w:bCs/>
          <w:sz w:val="24"/>
        </w:rPr>
        <w:t>.” This option may only be selected for contracts with future unspecified procurement. Any contracts that have multiple technology types across past and future years should separate out the procurement from that contract in separate rows</w:t>
      </w:r>
      <w:r w:rsidR="0097474E">
        <w:rPr>
          <w:rFonts w:ascii="Garamond" w:hAnsi="Garamond"/>
          <w:bCs/>
          <w:sz w:val="24"/>
        </w:rPr>
        <w:t xml:space="preserve"> using the same contract ID number. </w:t>
      </w:r>
    </w:p>
    <w:p w14:paraId="601F10CE" w14:textId="7F4BC71A" w:rsidR="00C25DC3" w:rsidRPr="0080220E" w:rsidRDefault="00C25DC3" w:rsidP="00C25DC3">
      <w:pPr>
        <w:numPr>
          <w:ilvl w:val="0"/>
          <w:numId w:val="11"/>
        </w:numPr>
        <w:spacing w:after="120"/>
        <w:rPr>
          <w:rFonts w:ascii="Garamond" w:hAnsi="Garamond"/>
          <w:bCs/>
          <w:sz w:val="24"/>
        </w:rPr>
      </w:pPr>
      <w:r w:rsidRPr="00DA353D">
        <w:rPr>
          <w:rFonts w:ascii="Garamond" w:hAnsi="Garamond"/>
          <w:b/>
          <w:sz w:val="24"/>
        </w:rPr>
        <w:t>Expected PCC Classification</w:t>
      </w:r>
      <w:r w:rsidRPr="0080220E">
        <w:rPr>
          <w:rFonts w:ascii="Garamond" w:hAnsi="Garamond"/>
          <w:bCs/>
          <w:sz w:val="24"/>
        </w:rPr>
        <w:t xml:space="preserve">: </w:t>
      </w:r>
      <w:r w:rsidR="00546BA9" w:rsidRPr="0080220E">
        <w:rPr>
          <w:rFonts w:ascii="Garamond" w:hAnsi="Garamond"/>
          <w:bCs/>
          <w:sz w:val="24"/>
        </w:rPr>
        <w:t>Select</w:t>
      </w:r>
      <w:r w:rsidRPr="0080220E">
        <w:rPr>
          <w:rFonts w:ascii="Garamond" w:hAnsi="Garamond"/>
          <w:bCs/>
          <w:sz w:val="24"/>
        </w:rPr>
        <w:t xml:space="preserve"> the</w:t>
      </w:r>
      <w:r w:rsidR="00546BA9" w:rsidRPr="0080220E">
        <w:rPr>
          <w:rFonts w:ascii="Garamond" w:hAnsi="Garamond"/>
          <w:bCs/>
          <w:sz w:val="24"/>
        </w:rPr>
        <w:t xml:space="preserve"> expected</w:t>
      </w:r>
      <w:r w:rsidRPr="0080220E">
        <w:rPr>
          <w:rFonts w:ascii="Garamond" w:hAnsi="Garamond"/>
          <w:bCs/>
          <w:sz w:val="24"/>
        </w:rPr>
        <w:t xml:space="preserve"> PCC classification of the reported RECs.</w:t>
      </w:r>
    </w:p>
    <w:p w14:paraId="130FE33D" w14:textId="293841C2" w:rsidR="0096697B" w:rsidRPr="0080220E" w:rsidRDefault="0096697B" w:rsidP="00C25DC3">
      <w:pPr>
        <w:numPr>
          <w:ilvl w:val="0"/>
          <w:numId w:val="11"/>
        </w:numPr>
        <w:spacing w:after="120"/>
        <w:rPr>
          <w:rFonts w:ascii="Garamond" w:hAnsi="Garamond"/>
          <w:bCs/>
          <w:sz w:val="24"/>
        </w:rPr>
      </w:pPr>
      <w:r w:rsidRPr="00E153D0">
        <w:rPr>
          <w:rFonts w:ascii="Garamond" w:hAnsi="Garamond"/>
          <w:b/>
          <w:sz w:val="24"/>
        </w:rPr>
        <w:t>Contract Length (Long/Short Term):</w:t>
      </w:r>
      <w:r w:rsidRPr="00DA353D">
        <w:rPr>
          <w:rFonts w:ascii="Garamond" w:hAnsi="Garamond"/>
          <w:bCs/>
          <w:sz w:val="24"/>
        </w:rPr>
        <w:t xml:space="preserve"> </w:t>
      </w:r>
      <w:r w:rsidRPr="0080220E">
        <w:rPr>
          <w:rFonts w:ascii="Garamond" w:hAnsi="Garamond"/>
          <w:bCs/>
          <w:sz w:val="24"/>
        </w:rPr>
        <w:t xml:space="preserve">If the contract duration is less than 10 years, select “Short Term” and if the contract duration is more than 10 years, select “Long Term.” </w:t>
      </w:r>
    </w:p>
    <w:p w14:paraId="6E3F741C" w14:textId="125C1B78" w:rsidR="0096697B" w:rsidRPr="0080220E" w:rsidRDefault="0096697B" w:rsidP="00C25DC3">
      <w:pPr>
        <w:numPr>
          <w:ilvl w:val="0"/>
          <w:numId w:val="11"/>
        </w:numPr>
        <w:spacing w:after="120"/>
        <w:rPr>
          <w:rFonts w:ascii="Garamond" w:hAnsi="Garamond"/>
          <w:bCs/>
          <w:sz w:val="24"/>
        </w:rPr>
      </w:pPr>
      <w:r w:rsidRPr="00E153D0">
        <w:rPr>
          <w:rFonts w:ascii="Garamond" w:hAnsi="Garamond"/>
          <w:b/>
          <w:sz w:val="24"/>
        </w:rPr>
        <w:t>Contract Length (Years):</w:t>
      </w:r>
      <w:r w:rsidRPr="0080220E">
        <w:rPr>
          <w:rFonts w:ascii="Garamond" w:hAnsi="Garamond"/>
          <w:bCs/>
          <w:sz w:val="24"/>
        </w:rPr>
        <w:t xml:space="preserve"> Select the number of calendar years of RPS procurement that is derived from the contract. </w:t>
      </w:r>
    </w:p>
    <w:p w14:paraId="7296736D" w14:textId="11968E55" w:rsidR="0096697B" w:rsidRPr="0080220E" w:rsidRDefault="0096697B" w:rsidP="00C25DC3">
      <w:pPr>
        <w:numPr>
          <w:ilvl w:val="0"/>
          <w:numId w:val="11"/>
        </w:numPr>
        <w:spacing w:after="120"/>
        <w:rPr>
          <w:rFonts w:ascii="Garamond" w:hAnsi="Garamond"/>
          <w:bCs/>
          <w:sz w:val="24"/>
        </w:rPr>
      </w:pPr>
      <w:r w:rsidRPr="00E153D0">
        <w:rPr>
          <w:rFonts w:ascii="Garamond" w:hAnsi="Garamond"/>
          <w:b/>
          <w:sz w:val="24"/>
        </w:rPr>
        <w:t>Bundled/Unbundled:</w:t>
      </w:r>
      <w:r w:rsidRPr="0080220E">
        <w:rPr>
          <w:rFonts w:ascii="Garamond" w:hAnsi="Garamond"/>
          <w:bCs/>
          <w:sz w:val="24"/>
        </w:rPr>
        <w:t xml:space="preserve"> Select whether the RECs are “bundled” or “unbundled” from the RPS energy under the contract. </w:t>
      </w:r>
    </w:p>
    <w:p w14:paraId="57DF114C" w14:textId="388C80A2" w:rsidR="00515FA6" w:rsidRPr="0080220E" w:rsidRDefault="00515FA6" w:rsidP="00112F54">
      <w:pPr>
        <w:numPr>
          <w:ilvl w:val="0"/>
          <w:numId w:val="11"/>
        </w:numPr>
        <w:spacing w:after="120"/>
        <w:rPr>
          <w:rFonts w:ascii="Garamond" w:hAnsi="Garamond"/>
          <w:bCs/>
          <w:sz w:val="24"/>
        </w:rPr>
      </w:pPr>
      <w:r w:rsidRPr="00DA353D">
        <w:rPr>
          <w:rFonts w:ascii="Garamond" w:hAnsi="Garamond"/>
          <w:b/>
          <w:sz w:val="24"/>
        </w:rPr>
        <w:t>Location by County</w:t>
      </w:r>
      <w:r w:rsidR="00AF5D55" w:rsidRPr="00DA353D">
        <w:rPr>
          <w:rFonts w:ascii="Garamond" w:hAnsi="Garamond"/>
          <w:b/>
          <w:sz w:val="24"/>
        </w:rPr>
        <w:t xml:space="preserve">, </w:t>
      </w:r>
      <w:r w:rsidRPr="00DA353D">
        <w:rPr>
          <w:rFonts w:ascii="Garamond" w:hAnsi="Garamond"/>
          <w:b/>
          <w:sz w:val="24"/>
        </w:rPr>
        <w:t xml:space="preserve">State, </w:t>
      </w:r>
      <w:r w:rsidR="00AF5D55" w:rsidRPr="00DA353D">
        <w:rPr>
          <w:rFonts w:ascii="Garamond" w:hAnsi="Garamond"/>
          <w:b/>
          <w:sz w:val="24"/>
        </w:rPr>
        <w:t>and</w:t>
      </w:r>
      <w:r w:rsidRPr="00DA353D">
        <w:rPr>
          <w:rFonts w:ascii="Garamond" w:hAnsi="Garamond"/>
          <w:b/>
          <w:sz w:val="24"/>
        </w:rPr>
        <w:t xml:space="preserve"> Country</w:t>
      </w:r>
      <w:r w:rsidRPr="0080220E">
        <w:rPr>
          <w:rFonts w:ascii="Garamond" w:hAnsi="Garamond"/>
          <w:bCs/>
          <w:sz w:val="24"/>
        </w:rPr>
        <w:t xml:space="preserve">: </w:t>
      </w:r>
      <w:r w:rsidR="00AF5D55" w:rsidRPr="0080220E">
        <w:rPr>
          <w:rFonts w:ascii="Garamond" w:hAnsi="Garamond"/>
          <w:bCs/>
          <w:sz w:val="24"/>
        </w:rPr>
        <w:t xml:space="preserve">Select </w:t>
      </w:r>
      <w:r w:rsidRPr="0080220E">
        <w:rPr>
          <w:rFonts w:ascii="Garamond" w:hAnsi="Garamond"/>
          <w:bCs/>
          <w:sz w:val="24"/>
        </w:rPr>
        <w:t>the county</w:t>
      </w:r>
      <w:r w:rsidR="00AF5D55" w:rsidRPr="0080220E">
        <w:rPr>
          <w:rFonts w:ascii="Garamond" w:hAnsi="Garamond"/>
          <w:bCs/>
          <w:sz w:val="24"/>
        </w:rPr>
        <w:t xml:space="preserve">, </w:t>
      </w:r>
      <w:r w:rsidRPr="0080220E">
        <w:rPr>
          <w:rFonts w:ascii="Garamond" w:hAnsi="Garamond"/>
          <w:bCs/>
          <w:sz w:val="24"/>
        </w:rPr>
        <w:t>state</w:t>
      </w:r>
      <w:r w:rsidR="00AF5D55" w:rsidRPr="0080220E">
        <w:rPr>
          <w:rFonts w:ascii="Garamond" w:hAnsi="Garamond"/>
          <w:bCs/>
          <w:sz w:val="24"/>
        </w:rPr>
        <w:t xml:space="preserve"> and country</w:t>
      </w:r>
      <w:r w:rsidRPr="0080220E">
        <w:rPr>
          <w:rFonts w:ascii="Garamond" w:hAnsi="Garamond"/>
          <w:bCs/>
          <w:sz w:val="24"/>
        </w:rPr>
        <w:t xml:space="preserve"> that the facility is located in. </w:t>
      </w:r>
      <w:r w:rsidR="00112F54" w:rsidRPr="0080220E">
        <w:rPr>
          <w:rFonts w:ascii="Garamond" w:hAnsi="Garamond"/>
          <w:bCs/>
          <w:sz w:val="24"/>
        </w:rPr>
        <w:t xml:space="preserve">If the project is located in California and spans multiple counties, please select “Multiple” from the drop-down list. Please input the Non-California county manually. </w:t>
      </w:r>
    </w:p>
    <w:p w14:paraId="533230FA" w14:textId="240F7420" w:rsidR="00C25DC3" w:rsidRPr="0080220E" w:rsidRDefault="00C25DC3" w:rsidP="00C25DC3">
      <w:pPr>
        <w:numPr>
          <w:ilvl w:val="0"/>
          <w:numId w:val="11"/>
        </w:numPr>
        <w:spacing w:after="120"/>
        <w:rPr>
          <w:rFonts w:ascii="Garamond" w:hAnsi="Garamond"/>
          <w:bCs/>
          <w:sz w:val="24"/>
        </w:rPr>
      </w:pPr>
      <w:r w:rsidRPr="00DA353D">
        <w:rPr>
          <w:rFonts w:ascii="Garamond" w:hAnsi="Garamond"/>
          <w:b/>
          <w:sz w:val="24"/>
        </w:rPr>
        <w:lastRenderedPageBreak/>
        <w:t>Contract Execution Date</w:t>
      </w:r>
      <w:r w:rsidRPr="0080220E">
        <w:rPr>
          <w:rFonts w:ascii="Garamond" w:hAnsi="Garamond"/>
          <w:bCs/>
          <w:sz w:val="24"/>
        </w:rPr>
        <w:t>: Input the date the contract was originally executed</w:t>
      </w:r>
      <w:r w:rsidR="00112F54" w:rsidRPr="0080220E">
        <w:rPr>
          <w:rFonts w:ascii="Garamond" w:hAnsi="Garamond"/>
          <w:bCs/>
          <w:sz w:val="24"/>
        </w:rPr>
        <w:t xml:space="preserve"> (mm/dd/yyy</w:t>
      </w:r>
      <w:r w:rsidR="00DA7D38" w:rsidRPr="0080220E">
        <w:rPr>
          <w:rFonts w:ascii="Garamond" w:hAnsi="Garamond"/>
          <w:bCs/>
          <w:sz w:val="24"/>
        </w:rPr>
        <w:t>y</w:t>
      </w:r>
      <w:r w:rsidR="00112F54" w:rsidRPr="0080220E">
        <w:rPr>
          <w:rFonts w:ascii="Garamond" w:hAnsi="Garamond"/>
          <w:bCs/>
          <w:sz w:val="24"/>
        </w:rPr>
        <w:t xml:space="preserve">). The date must match the execution date on the original procurement contract. </w:t>
      </w:r>
      <w:r w:rsidR="00DA7D38" w:rsidRPr="0080220E">
        <w:rPr>
          <w:rFonts w:ascii="Garamond" w:hAnsi="Garamond"/>
          <w:bCs/>
          <w:sz w:val="24"/>
        </w:rPr>
        <w:t xml:space="preserve">Include the expected execution date for contracts under negotiation. </w:t>
      </w:r>
    </w:p>
    <w:p w14:paraId="48A126C3" w14:textId="631F1F9E" w:rsidR="00512E1F" w:rsidRPr="00136193" w:rsidRDefault="00512E1F" w:rsidP="00136193">
      <w:pPr>
        <w:numPr>
          <w:ilvl w:val="0"/>
          <w:numId w:val="11"/>
        </w:numPr>
        <w:spacing w:after="120"/>
        <w:rPr>
          <w:rFonts w:ascii="Garamond" w:hAnsi="Garamond"/>
          <w:bCs/>
          <w:sz w:val="24"/>
        </w:rPr>
      </w:pPr>
      <w:r w:rsidRPr="00DA353D">
        <w:rPr>
          <w:rFonts w:ascii="Garamond" w:hAnsi="Garamond"/>
          <w:b/>
          <w:sz w:val="24"/>
        </w:rPr>
        <w:t>Commercial Online Date</w:t>
      </w:r>
      <w:r w:rsidRPr="0080220E">
        <w:rPr>
          <w:rFonts w:ascii="Garamond" w:hAnsi="Garamond"/>
          <w:bCs/>
          <w:sz w:val="24"/>
        </w:rPr>
        <w:t>: Input the Commercial Online Date specified in the RPS procurement contract</w:t>
      </w:r>
      <w:r w:rsidR="00DA7D38" w:rsidRPr="0080220E">
        <w:rPr>
          <w:rFonts w:ascii="Garamond" w:hAnsi="Garamond"/>
          <w:bCs/>
          <w:sz w:val="24"/>
        </w:rPr>
        <w:t xml:space="preserve"> (mm/dd/yyyy)</w:t>
      </w:r>
      <w:r w:rsidRPr="0080220E">
        <w:rPr>
          <w:rFonts w:ascii="Garamond" w:hAnsi="Garamond"/>
          <w:bCs/>
          <w:sz w:val="24"/>
        </w:rPr>
        <w:t xml:space="preserve">. </w:t>
      </w:r>
      <w:r w:rsidR="00136193">
        <w:rPr>
          <w:rFonts w:ascii="Garamond" w:hAnsi="Garamond"/>
          <w:bCs/>
          <w:sz w:val="24"/>
        </w:rPr>
        <w:t>I</w:t>
      </w:r>
      <w:r w:rsidR="00136193" w:rsidRPr="00136193">
        <w:rPr>
          <w:rFonts w:ascii="Garamond" w:hAnsi="Garamond"/>
          <w:bCs/>
          <w:sz w:val="24"/>
        </w:rPr>
        <w:t xml:space="preserve">f the facility </w:t>
      </w:r>
      <w:r w:rsidR="00136193">
        <w:rPr>
          <w:rFonts w:ascii="Garamond" w:hAnsi="Garamond"/>
          <w:bCs/>
          <w:sz w:val="24"/>
        </w:rPr>
        <w:t xml:space="preserve">or contract resource </w:t>
      </w:r>
      <w:r w:rsidR="00136193" w:rsidRPr="00136193">
        <w:rPr>
          <w:rFonts w:ascii="Garamond" w:hAnsi="Garamond"/>
          <w:bCs/>
          <w:sz w:val="24"/>
        </w:rPr>
        <w:t>achieved COD</w:t>
      </w:r>
      <w:r w:rsidR="00136193">
        <w:rPr>
          <w:rFonts w:ascii="Garamond" w:hAnsi="Garamond"/>
          <w:bCs/>
          <w:sz w:val="24"/>
        </w:rPr>
        <w:t xml:space="preserve"> </w:t>
      </w:r>
      <w:r w:rsidR="00136193" w:rsidRPr="00136193">
        <w:rPr>
          <w:rFonts w:ascii="Garamond" w:hAnsi="Garamond"/>
          <w:bCs/>
          <w:sz w:val="24"/>
        </w:rPr>
        <w:t>earlier than the date specified in the contract</w:t>
      </w:r>
      <w:r w:rsidR="00136193">
        <w:rPr>
          <w:rFonts w:ascii="Garamond" w:hAnsi="Garamond"/>
          <w:bCs/>
          <w:sz w:val="24"/>
        </w:rPr>
        <w:t>, it</w:t>
      </w:r>
      <w:r w:rsidR="00136193" w:rsidRPr="00136193">
        <w:rPr>
          <w:rFonts w:ascii="Garamond" w:hAnsi="Garamond"/>
          <w:bCs/>
          <w:sz w:val="24"/>
        </w:rPr>
        <w:t xml:space="preserve"> is appropriate to provide the Actual COD and provide the COD specified in the contract (Guaranteed COD) for facilities not yet online. </w:t>
      </w:r>
      <w:r w:rsidR="00136193" w:rsidRPr="0080220E">
        <w:rPr>
          <w:rFonts w:ascii="Garamond" w:hAnsi="Garamond"/>
          <w:bCs/>
          <w:sz w:val="24"/>
        </w:rPr>
        <w:t>Include expected COD for projects under negotiation.</w:t>
      </w:r>
    </w:p>
    <w:p w14:paraId="478DD471" w14:textId="5209F3A2" w:rsidR="00C25DC3" w:rsidRPr="0080220E" w:rsidRDefault="00DA7D38" w:rsidP="00C25DC3">
      <w:pPr>
        <w:numPr>
          <w:ilvl w:val="0"/>
          <w:numId w:val="11"/>
        </w:numPr>
        <w:spacing w:after="120"/>
        <w:rPr>
          <w:rFonts w:ascii="Garamond" w:hAnsi="Garamond"/>
          <w:bCs/>
          <w:sz w:val="24"/>
        </w:rPr>
      </w:pPr>
      <w:r w:rsidRPr="00DA353D">
        <w:rPr>
          <w:rFonts w:ascii="Garamond" w:hAnsi="Garamond"/>
          <w:b/>
          <w:sz w:val="24"/>
        </w:rPr>
        <w:t>Delivery Term -</w:t>
      </w:r>
      <w:r w:rsidR="00C25DC3" w:rsidRPr="00DA353D">
        <w:rPr>
          <w:rFonts w:ascii="Garamond" w:hAnsi="Garamond"/>
          <w:b/>
          <w:sz w:val="24"/>
        </w:rPr>
        <w:t xml:space="preserve"> Start Date</w:t>
      </w:r>
      <w:r w:rsidR="00C25DC3" w:rsidRPr="0080220E">
        <w:rPr>
          <w:rFonts w:ascii="Garamond" w:hAnsi="Garamond"/>
          <w:bCs/>
          <w:sz w:val="24"/>
        </w:rPr>
        <w:t>: In</w:t>
      </w:r>
      <w:r w:rsidRPr="0080220E">
        <w:rPr>
          <w:rFonts w:ascii="Garamond" w:hAnsi="Garamond"/>
          <w:bCs/>
          <w:sz w:val="24"/>
        </w:rPr>
        <w:t>put</w:t>
      </w:r>
      <w:r w:rsidR="00C25DC3" w:rsidRPr="0080220E">
        <w:rPr>
          <w:rFonts w:ascii="Garamond" w:hAnsi="Garamond"/>
          <w:bCs/>
          <w:sz w:val="24"/>
        </w:rPr>
        <w:t xml:space="preserve"> the first date that electricity products were or will be procured by the retail seller</w:t>
      </w:r>
      <w:r w:rsidRPr="0080220E">
        <w:rPr>
          <w:rFonts w:ascii="Garamond" w:hAnsi="Garamond"/>
          <w:bCs/>
          <w:sz w:val="24"/>
        </w:rPr>
        <w:t xml:space="preserve"> (mm/dd/yyy) under the contract. </w:t>
      </w:r>
    </w:p>
    <w:p w14:paraId="6F11C9B3" w14:textId="46A1A063" w:rsidR="00C25DC3" w:rsidRPr="0080220E" w:rsidRDefault="00DA7D38" w:rsidP="00C25DC3">
      <w:pPr>
        <w:numPr>
          <w:ilvl w:val="0"/>
          <w:numId w:val="11"/>
        </w:numPr>
        <w:spacing w:after="120"/>
        <w:rPr>
          <w:rFonts w:ascii="Garamond" w:hAnsi="Garamond"/>
          <w:bCs/>
          <w:sz w:val="24"/>
        </w:rPr>
      </w:pPr>
      <w:r w:rsidRPr="00DA353D">
        <w:rPr>
          <w:rFonts w:ascii="Garamond" w:hAnsi="Garamond"/>
          <w:b/>
          <w:sz w:val="24"/>
        </w:rPr>
        <w:t>Delivery Term -</w:t>
      </w:r>
      <w:r w:rsidR="00C25DC3" w:rsidRPr="00DA353D">
        <w:rPr>
          <w:rFonts w:ascii="Garamond" w:hAnsi="Garamond"/>
          <w:b/>
          <w:sz w:val="24"/>
        </w:rPr>
        <w:t xml:space="preserve"> End Date</w:t>
      </w:r>
      <w:r w:rsidR="00C25DC3" w:rsidRPr="0080220E">
        <w:rPr>
          <w:rFonts w:ascii="Garamond" w:hAnsi="Garamond"/>
          <w:bCs/>
          <w:sz w:val="24"/>
        </w:rPr>
        <w:t xml:space="preserve">: </w:t>
      </w:r>
      <w:r w:rsidRPr="0080220E">
        <w:rPr>
          <w:rFonts w:ascii="Garamond" w:hAnsi="Garamond"/>
          <w:bCs/>
          <w:sz w:val="24"/>
        </w:rPr>
        <w:t xml:space="preserve">Input the last date that electricity products were or will be procured by the retail seller (mm/dd/yyy) under the contract. </w:t>
      </w:r>
    </w:p>
    <w:p w14:paraId="1E250919" w14:textId="67144ECA" w:rsidR="00791132" w:rsidRPr="0080220E" w:rsidRDefault="00791132" w:rsidP="00791132">
      <w:pPr>
        <w:numPr>
          <w:ilvl w:val="0"/>
          <w:numId w:val="11"/>
        </w:numPr>
        <w:spacing w:after="120"/>
        <w:rPr>
          <w:rFonts w:ascii="Garamond" w:hAnsi="Garamond"/>
          <w:bCs/>
          <w:sz w:val="24"/>
        </w:rPr>
      </w:pPr>
      <w:r w:rsidRPr="00DE1BDE">
        <w:rPr>
          <w:rFonts w:ascii="Garamond" w:hAnsi="Garamond"/>
          <w:b/>
          <w:sz w:val="24"/>
        </w:rPr>
        <w:t>Date of Most Recent Contract Extension</w:t>
      </w:r>
      <w:r w:rsidRPr="00DA353D">
        <w:rPr>
          <w:rFonts w:ascii="Garamond" w:hAnsi="Garamond"/>
          <w:b/>
          <w:sz w:val="24"/>
        </w:rPr>
        <w:t xml:space="preserve"> / Amendment</w:t>
      </w:r>
      <w:r w:rsidRPr="0080220E">
        <w:rPr>
          <w:rFonts w:ascii="Garamond" w:hAnsi="Garamond"/>
          <w:bCs/>
          <w:sz w:val="24"/>
        </w:rPr>
        <w:t>: Input date that the original contract was extended or amended (mm/dd/yyyy).</w:t>
      </w:r>
    </w:p>
    <w:p w14:paraId="111F8B7B" w14:textId="50FB0F7A" w:rsidR="00450A2F" w:rsidRPr="0080220E" w:rsidRDefault="00450A2F" w:rsidP="00791132">
      <w:pPr>
        <w:numPr>
          <w:ilvl w:val="0"/>
          <w:numId w:val="11"/>
        </w:numPr>
        <w:spacing w:after="120"/>
        <w:rPr>
          <w:rFonts w:ascii="Garamond" w:hAnsi="Garamond"/>
          <w:bCs/>
          <w:sz w:val="24"/>
        </w:rPr>
      </w:pPr>
      <w:r w:rsidRPr="00DE1BDE">
        <w:rPr>
          <w:rFonts w:ascii="Garamond" w:hAnsi="Garamond"/>
          <w:b/>
          <w:sz w:val="24"/>
        </w:rPr>
        <w:t>Advice Letter #:</w:t>
      </w:r>
      <w:r w:rsidRPr="00DA353D">
        <w:rPr>
          <w:rFonts w:ascii="Garamond" w:hAnsi="Garamond"/>
          <w:bCs/>
          <w:sz w:val="24"/>
        </w:rPr>
        <w:t xml:space="preserve"> </w:t>
      </w:r>
      <w:r w:rsidRPr="0080220E">
        <w:rPr>
          <w:rFonts w:ascii="Garamond" w:hAnsi="Garamond"/>
          <w:bCs/>
          <w:sz w:val="24"/>
        </w:rPr>
        <w:t>Input the AL number if the contract was approved through a CPUC AL.</w:t>
      </w:r>
      <w:r w:rsidR="00B61C68">
        <w:rPr>
          <w:rFonts w:ascii="Garamond" w:hAnsi="Garamond"/>
          <w:bCs/>
          <w:sz w:val="24"/>
        </w:rPr>
        <w:t xml:space="preserve"> If the contract has been amended, retail sellers may </w:t>
      </w:r>
      <w:r w:rsidR="00B61C68" w:rsidRPr="00B61C68">
        <w:rPr>
          <w:rFonts w:ascii="Garamond" w:hAnsi="Garamond"/>
          <w:bCs/>
          <w:sz w:val="24"/>
        </w:rPr>
        <w:t>populat</w:t>
      </w:r>
      <w:r w:rsidR="00B61C68">
        <w:rPr>
          <w:rFonts w:ascii="Garamond" w:hAnsi="Garamond"/>
          <w:bCs/>
          <w:sz w:val="24"/>
        </w:rPr>
        <w:t>e</w:t>
      </w:r>
      <w:r w:rsidR="00B61C68" w:rsidRPr="00B61C68">
        <w:rPr>
          <w:rFonts w:ascii="Garamond" w:hAnsi="Garamond"/>
          <w:bCs/>
          <w:sz w:val="24"/>
        </w:rPr>
        <w:t xml:space="preserve"> this column with the AL # associated with the prior column, “Date of Most Recent Contract </w:t>
      </w:r>
      <w:r w:rsidR="00B61C68">
        <w:rPr>
          <w:rFonts w:ascii="Garamond" w:hAnsi="Garamond"/>
          <w:bCs/>
          <w:sz w:val="24"/>
        </w:rPr>
        <w:t>Extension/</w:t>
      </w:r>
      <w:r w:rsidR="00B61C68" w:rsidRPr="00B61C68">
        <w:rPr>
          <w:rFonts w:ascii="Garamond" w:hAnsi="Garamond"/>
          <w:bCs/>
          <w:sz w:val="24"/>
        </w:rPr>
        <w:t>Amendment</w:t>
      </w:r>
      <w:r w:rsidR="00B61C68">
        <w:rPr>
          <w:rFonts w:ascii="Garamond" w:hAnsi="Garamond"/>
          <w:bCs/>
          <w:sz w:val="24"/>
        </w:rPr>
        <w:t>.</w:t>
      </w:r>
      <w:r w:rsidR="00B61C68" w:rsidRPr="00B61C68">
        <w:rPr>
          <w:rFonts w:ascii="Garamond" w:hAnsi="Garamond"/>
          <w:bCs/>
          <w:sz w:val="24"/>
        </w:rPr>
        <w:t>”</w:t>
      </w:r>
      <w:r w:rsidR="00B61C68">
        <w:rPr>
          <w:rStyle w:val="FootnoteReference"/>
          <w:rFonts w:ascii="Garamond" w:hAnsi="Garamond"/>
          <w:bCs/>
          <w:sz w:val="24"/>
        </w:rPr>
        <w:footnoteReference w:id="11"/>
      </w:r>
      <w:r w:rsidR="00B61C68" w:rsidRPr="00B61C68">
        <w:rPr>
          <w:rFonts w:ascii="Garamond" w:hAnsi="Garamond"/>
          <w:bCs/>
          <w:sz w:val="24"/>
        </w:rPr>
        <w:t xml:space="preserve"> </w:t>
      </w:r>
    </w:p>
    <w:p w14:paraId="124E2230" w14:textId="745A22B4" w:rsidR="00450A2F" w:rsidRPr="0080220E" w:rsidRDefault="00450A2F" w:rsidP="00791132">
      <w:pPr>
        <w:numPr>
          <w:ilvl w:val="0"/>
          <w:numId w:val="11"/>
        </w:numPr>
        <w:spacing w:after="120"/>
        <w:rPr>
          <w:rFonts w:ascii="Garamond" w:hAnsi="Garamond"/>
          <w:bCs/>
          <w:sz w:val="24"/>
        </w:rPr>
      </w:pPr>
      <w:r w:rsidRPr="00DE1BDE">
        <w:rPr>
          <w:rFonts w:ascii="Garamond" w:hAnsi="Garamond"/>
          <w:b/>
          <w:sz w:val="24"/>
        </w:rPr>
        <w:t>Contract Volume / Contract Capacity</w:t>
      </w:r>
      <w:r w:rsidRPr="00DA353D">
        <w:rPr>
          <w:rFonts w:ascii="Garamond" w:hAnsi="Garamond"/>
          <w:bCs/>
          <w:sz w:val="24"/>
        </w:rPr>
        <w:t>:</w:t>
      </w:r>
      <w:r w:rsidRPr="0080220E">
        <w:rPr>
          <w:rFonts w:ascii="Garamond" w:hAnsi="Garamond"/>
          <w:bCs/>
          <w:sz w:val="24"/>
        </w:rPr>
        <w:t xml:space="preserve"> Input the contract volume (MWh) and contract capacity (MW) specified in the RPS procurement contract. </w:t>
      </w:r>
    </w:p>
    <w:p w14:paraId="09519D1C" w14:textId="7DBE938E" w:rsidR="00C25DC3" w:rsidRPr="0080220E" w:rsidRDefault="00F44C70" w:rsidP="00DA353D">
      <w:pPr>
        <w:numPr>
          <w:ilvl w:val="0"/>
          <w:numId w:val="11"/>
        </w:numPr>
        <w:spacing w:after="120"/>
        <w:rPr>
          <w:rFonts w:ascii="Garamond" w:hAnsi="Garamond"/>
          <w:bCs/>
          <w:sz w:val="24"/>
        </w:rPr>
      </w:pPr>
      <w:r w:rsidRPr="00DE1BDE">
        <w:rPr>
          <w:rFonts w:ascii="Garamond" w:hAnsi="Garamond"/>
          <w:b/>
          <w:sz w:val="24"/>
        </w:rPr>
        <w:t>Share of Total Facility Generation Under Contract (%):</w:t>
      </w:r>
      <w:r w:rsidRPr="00DA353D">
        <w:rPr>
          <w:rFonts w:ascii="Garamond" w:hAnsi="Garamond"/>
          <w:bCs/>
          <w:sz w:val="24"/>
        </w:rPr>
        <w:t xml:space="preserve"> </w:t>
      </w:r>
      <w:r w:rsidR="00C25DC3" w:rsidRPr="0080220E">
        <w:rPr>
          <w:rFonts w:ascii="Garamond" w:hAnsi="Garamond"/>
          <w:bCs/>
          <w:sz w:val="24"/>
        </w:rPr>
        <w:t>Enter the share of total generation</w:t>
      </w:r>
      <w:r w:rsidRPr="0080220E">
        <w:rPr>
          <w:rFonts w:ascii="Garamond" w:hAnsi="Garamond"/>
          <w:bCs/>
          <w:sz w:val="24"/>
        </w:rPr>
        <w:t xml:space="preserve"> (between 0% and 100%)</w:t>
      </w:r>
      <w:r w:rsidR="00C25DC3" w:rsidRPr="0080220E">
        <w:rPr>
          <w:rFonts w:ascii="Garamond" w:hAnsi="Garamond"/>
          <w:bCs/>
          <w:sz w:val="24"/>
        </w:rPr>
        <w:t xml:space="preserve"> under the </w:t>
      </w:r>
      <w:r w:rsidR="00400060" w:rsidRPr="0080220E">
        <w:rPr>
          <w:rFonts w:ascii="Garamond" w:hAnsi="Garamond"/>
          <w:bCs/>
          <w:sz w:val="24"/>
        </w:rPr>
        <w:t>RPS</w:t>
      </w:r>
      <w:r w:rsidR="00C25DC3" w:rsidRPr="0080220E">
        <w:rPr>
          <w:rFonts w:ascii="Garamond" w:hAnsi="Garamond"/>
          <w:bCs/>
          <w:sz w:val="24"/>
        </w:rPr>
        <w:t xml:space="preserve"> contract</w:t>
      </w:r>
      <w:r w:rsidR="00400060" w:rsidRPr="0080220E">
        <w:rPr>
          <w:rFonts w:ascii="Garamond" w:hAnsi="Garamond"/>
          <w:bCs/>
          <w:sz w:val="24"/>
        </w:rPr>
        <w:t xml:space="preserve"> that the retail seller will receive</w:t>
      </w:r>
      <w:r w:rsidR="00C25DC3" w:rsidRPr="0080220E">
        <w:rPr>
          <w:rFonts w:ascii="Garamond" w:hAnsi="Garamond"/>
          <w:bCs/>
          <w:sz w:val="24"/>
        </w:rPr>
        <w:t xml:space="preserve">. </w:t>
      </w:r>
      <w:r w:rsidR="00C67920">
        <w:rPr>
          <w:rFonts w:ascii="Garamond" w:hAnsi="Garamond"/>
          <w:bCs/>
          <w:sz w:val="24"/>
        </w:rPr>
        <w:t>If the contract does not</w:t>
      </w:r>
      <w:r w:rsidR="00C67920" w:rsidRPr="00C67920">
        <w:rPr>
          <w:rFonts w:ascii="Garamond" w:hAnsi="Garamond"/>
          <w:bCs/>
          <w:sz w:val="24"/>
        </w:rPr>
        <w:t xml:space="preserve"> have a set percentage of </w:t>
      </w:r>
      <w:r w:rsidR="00C67920">
        <w:rPr>
          <w:rFonts w:ascii="Garamond" w:hAnsi="Garamond"/>
          <w:bCs/>
          <w:sz w:val="24"/>
        </w:rPr>
        <w:t>procurement from a</w:t>
      </w:r>
      <w:r w:rsidR="00C67920" w:rsidRPr="00C67920">
        <w:rPr>
          <w:rFonts w:ascii="Garamond" w:hAnsi="Garamond"/>
          <w:bCs/>
          <w:sz w:val="24"/>
        </w:rPr>
        <w:t xml:space="preserve"> resource</w:t>
      </w:r>
      <w:r w:rsidR="00C67920">
        <w:rPr>
          <w:rFonts w:ascii="Garamond" w:hAnsi="Garamond"/>
          <w:bCs/>
          <w:sz w:val="24"/>
        </w:rPr>
        <w:t xml:space="preserve"> (i.e. if contracts are </w:t>
      </w:r>
      <w:r w:rsidR="00C67920" w:rsidRPr="00C67920">
        <w:rPr>
          <w:rFonts w:ascii="Garamond" w:hAnsi="Garamond"/>
          <w:bCs/>
          <w:sz w:val="24"/>
        </w:rPr>
        <w:t>deliver</w:t>
      </w:r>
      <w:r w:rsidR="00C67920">
        <w:rPr>
          <w:rFonts w:ascii="Garamond" w:hAnsi="Garamond"/>
          <w:bCs/>
          <w:sz w:val="24"/>
        </w:rPr>
        <w:t>ing</w:t>
      </w:r>
      <w:r w:rsidR="00C67920" w:rsidRPr="00C67920">
        <w:rPr>
          <w:rFonts w:ascii="Garamond" w:hAnsi="Garamond"/>
          <w:bCs/>
          <w:sz w:val="24"/>
        </w:rPr>
        <w:t xml:space="preserve"> volumes from a pool of resources</w:t>
      </w:r>
      <w:r w:rsidR="00C67920">
        <w:rPr>
          <w:rFonts w:ascii="Garamond" w:hAnsi="Garamond"/>
          <w:bCs/>
          <w:sz w:val="24"/>
        </w:rPr>
        <w:t>), LSEs may enter</w:t>
      </w:r>
      <w:r w:rsidR="00C67920" w:rsidRPr="00C67920">
        <w:rPr>
          <w:rFonts w:ascii="Garamond" w:hAnsi="Garamond"/>
          <w:bCs/>
          <w:sz w:val="24"/>
        </w:rPr>
        <w:t xml:space="preserve"> “Unknown</w:t>
      </w:r>
      <w:r w:rsidR="00C67920">
        <w:rPr>
          <w:rFonts w:ascii="Garamond" w:hAnsi="Garamond"/>
          <w:bCs/>
          <w:sz w:val="24"/>
        </w:rPr>
        <w:t>.</w:t>
      </w:r>
      <w:r w:rsidR="00C67920" w:rsidRPr="00C67920">
        <w:rPr>
          <w:rFonts w:ascii="Garamond" w:hAnsi="Garamond"/>
          <w:bCs/>
          <w:sz w:val="24"/>
        </w:rPr>
        <w:t>”</w:t>
      </w:r>
      <w:r w:rsidR="00C67920">
        <w:rPr>
          <w:rFonts w:ascii="Garamond" w:hAnsi="Garamond"/>
          <w:bCs/>
          <w:sz w:val="24"/>
        </w:rPr>
        <w:t xml:space="preserve"> </w:t>
      </w:r>
    </w:p>
    <w:p w14:paraId="1B04FEC3" w14:textId="5EB30DD7" w:rsidR="00C25DC3" w:rsidRPr="0080220E" w:rsidRDefault="00F44C70" w:rsidP="00C25DC3">
      <w:pPr>
        <w:numPr>
          <w:ilvl w:val="0"/>
          <w:numId w:val="11"/>
        </w:numPr>
        <w:spacing w:after="120"/>
        <w:rPr>
          <w:rFonts w:ascii="Garamond" w:hAnsi="Garamond"/>
          <w:bCs/>
          <w:sz w:val="24"/>
        </w:rPr>
      </w:pPr>
      <w:r w:rsidRPr="00DA353D">
        <w:rPr>
          <w:rFonts w:ascii="Garamond" w:hAnsi="Garamond"/>
          <w:b/>
          <w:sz w:val="24"/>
        </w:rPr>
        <w:t>Contract Counterparty</w:t>
      </w:r>
      <w:r w:rsidR="00C25DC3" w:rsidRPr="0080220E">
        <w:rPr>
          <w:rFonts w:ascii="Garamond" w:hAnsi="Garamond"/>
          <w:bCs/>
          <w:sz w:val="24"/>
        </w:rPr>
        <w:t xml:space="preserve">: Indicate the seller of </w:t>
      </w:r>
      <w:r w:rsidRPr="0080220E">
        <w:rPr>
          <w:rFonts w:ascii="Garamond" w:hAnsi="Garamond"/>
          <w:bCs/>
          <w:sz w:val="24"/>
        </w:rPr>
        <w:t>the RPS energy as specified in the contract</w:t>
      </w:r>
      <w:r w:rsidR="00C25DC3" w:rsidRPr="0080220E">
        <w:rPr>
          <w:rFonts w:ascii="Garamond" w:hAnsi="Garamond"/>
          <w:bCs/>
          <w:sz w:val="24"/>
        </w:rPr>
        <w:t xml:space="preserve">. If </w:t>
      </w:r>
      <w:r w:rsidRPr="0080220E">
        <w:rPr>
          <w:rFonts w:ascii="Garamond" w:hAnsi="Garamond"/>
          <w:bCs/>
          <w:sz w:val="24"/>
        </w:rPr>
        <w:t xml:space="preserve">the facility is </w:t>
      </w:r>
      <w:r w:rsidR="00C25DC3" w:rsidRPr="0080220E">
        <w:rPr>
          <w:rFonts w:ascii="Garamond" w:hAnsi="Garamond"/>
          <w:bCs/>
          <w:sz w:val="24"/>
        </w:rPr>
        <w:t>utility</w:t>
      </w:r>
      <w:r w:rsidRPr="0080220E">
        <w:rPr>
          <w:rFonts w:ascii="Garamond" w:hAnsi="Garamond"/>
          <w:bCs/>
          <w:sz w:val="24"/>
        </w:rPr>
        <w:t>-</w:t>
      </w:r>
      <w:r w:rsidR="00C25DC3" w:rsidRPr="0080220E">
        <w:rPr>
          <w:rFonts w:ascii="Garamond" w:hAnsi="Garamond"/>
          <w:bCs/>
          <w:sz w:val="24"/>
        </w:rPr>
        <w:t>owned, state "</w:t>
      </w:r>
      <w:r w:rsidRPr="0080220E">
        <w:rPr>
          <w:rFonts w:ascii="Garamond" w:hAnsi="Garamond"/>
          <w:bCs/>
          <w:sz w:val="24"/>
        </w:rPr>
        <w:t>UOG</w:t>
      </w:r>
      <w:r w:rsidR="00C25DC3" w:rsidRPr="0080220E">
        <w:rPr>
          <w:rFonts w:ascii="Garamond" w:hAnsi="Garamond"/>
          <w:bCs/>
          <w:sz w:val="24"/>
        </w:rPr>
        <w:t>." If purchased from a</w:t>
      </w:r>
      <w:r w:rsidRPr="0080220E">
        <w:rPr>
          <w:rFonts w:ascii="Garamond" w:hAnsi="Garamond"/>
          <w:bCs/>
          <w:sz w:val="24"/>
        </w:rPr>
        <w:t>nother</w:t>
      </w:r>
      <w:r w:rsidR="00C25DC3" w:rsidRPr="0080220E">
        <w:rPr>
          <w:rFonts w:ascii="Garamond" w:hAnsi="Garamond"/>
          <w:bCs/>
          <w:sz w:val="24"/>
        </w:rPr>
        <w:t xml:space="preserve"> load-serving entity, state the name of the load-serving entity.</w:t>
      </w:r>
      <w:r w:rsidRPr="0080220E">
        <w:rPr>
          <w:rFonts w:ascii="Garamond" w:hAnsi="Garamond"/>
          <w:bCs/>
          <w:sz w:val="24"/>
        </w:rPr>
        <w:t xml:space="preserve"> </w:t>
      </w:r>
    </w:p>
    <w:p w14:paraId="29AE2C2C" w14:textId="77777777" w:rsidR="00C25DC3" w:rsidRPr="0080220E" w:rsidRDefault="00C25DC3" w:rsidP="00C25DC3">
      <w:pPr>
        <w:numPr>
          <w:ilvl w:val="0"/>
          <w:numId w:val="11"/>
        </w:numPr>
        <w:spacing w:after="120"/>
        <w:rPr>
          <w:rFonts w:ascii="Garamond" w:hAnsi="Garamond"/>
          <w:bCs/>
          <w:sz w:val="24"/>
        </w:rPr>
      </w:pPr>
      <w:r w:rsidRPr="00DA353D">
        <w:rPr>
          <w:rFonts w:ascii="Garamond" w:hAnsi="Garamond"/>
          <w:b/>
          <w:sz w:val="24"/>
        </w:rPr>
        <w:t>Scheduling Coordinator</w:t>
      </w:r>
      <w:r w:rsidRPr="0080220E">
        <w:rPr>
          <w:rFonts w:ascii="Garamond" w:hAnsi="Garamond"/>
          <w:bCs/>
          <w:sz w:val="24"/>
        </w:rPr>
        <w:t>: Indicate the party responsible for scheduling the deliveries of RPS eligible electricity into a CBA, if applicable. If there is more than one party is designated as a “scheduling coordinator,” indicate only the primary scheduling coordinator.</w:t>
      </w:r>
    </w:p>
    <w:p w14:paraId="7434CE8D" w14:textId="3C0CD434" w:rsidR="00C25DC3" w:rsidRPr="0080220E" w:rsidRDefault="00C25DC3" w:rsidP="00C25DC3">
      <w:pPr>
        <w:numPr>
          <w:ilvl w:val="0"/>
          <w:numId w:val="11"/>
        </w:numPr>
        <w:spacing w:after="120"/>
        <w:rPr>
          <w:rFonts w:ascii="Garamond" w:hAnsi="Garamond"/>
          <w:bCs/>
          <w:sz w:val="24"/>
        </w:rPr>
      </w:pPr>
      <w:r w:rsidRPr="00DA353D">
        <w:rPr>
          <w:rFonts w:ascii="Garamond" w:hAnsi="Garamond"/>
          <w:b/>
          <w:sz w:val="24"/>
        </w:rPr>
        <w:t>Facility(ies) Directly Interconnected to a CBA</w:t>
      </w:r>
      <w:r w:rsidRPr="0080220E">
        <w:rPr>
          <w:rFonts w:ascii="Garamond" w:hAnsi="Garamond"/>
          <w:bCs/>
          <w:sz w:val="24"/>
        </w:rPr>
        <w:t xml:space="preserve">: Indicate if the facility is directly interconnected to a CBA by selecting “yes” or “no” from the </w:t>
      </w:r>
      <w:r w:rsidR="00D22712" w:rsidRPr="0080220E">
        <w:rPr>
          <w:rFonts w:ascii="Garamond" w:hAnsi="Garamond"/>
          <w:bCs/>
          <w:sz w:val="24"/>
        </w:rPr>
        <w:t>drop-down</w:t>
      </w:r>
      <w:r w:rsidRPr="0080220E">
        <w:rPr>
          <w:rFonts w:ascii="Garamond" w:hAnsi="Garamond"/>
          <w:bCs/>
          <w:sz w:val="24"/>
        </w:rPr>
        <w:t xml:space="preserve"> menu. Select “yes” if the contracted facility(ies) is/are directly interconnected to a CBA, or “no” if the contracted facility(ies) is/are </w:t>
      </w:r>
      <w:r w:rsidRPr="0080220E">
        <w:rPr>
          <w:rFonts w:ascii="Garamond" w:hAnsi="Garamond"/>
          <w:bCs/>
          <w:sz w:val="24"/>
          <w:u w:val="single"/>
        </w:rPr>
        <w:t>not</w:t>
      </w:r>
      <w:r w:rsidRPr="0080220E">
        <w:rPr>
          <w:rFonts w:ascii="Garamond" w:hAnsi="Garamond"/>
          <w:bCs/>
          <w:sz w:val="24"/>
        </w:rPr>
        <w:t xml:space="preserve"> directly interconnected to a CBA.</w:t>
      </w:r>
    </w:p>
    <w:p w14:paraId="28E4FDB8" w14:textId="65F4657B" w:rsidR="00C25DC3" w:rsidRDefault="00C25DC3" w:rsidP="00C25DC3">
      <w:pPr>
        <w:numPr>
          <w:ilvl w:val="0"/>
          <w:numId w:val="11"/>
        </w:numPr>
        <w:spacing w:after="120"/>
        <w:rPr>
          <w:rFonts w:ascii="Garamond" w:hAnsi="Garamond"/>
          <w:bCs/>
          <w:sz w:val="24"/>
        </w:rPr>
      </w:pPr>
      <w:r w:rsidRPr="00DA353D">
        <w:rPr>
          <w:rFonts w:ascii="Garamond" w:hAnsi="Garamond"/>
          <w:b/>
          <w:sz w:val="24"/>
        </w:rPr>
        <w:t>CBA(s) of Interconnection</w:t>
      </w:r>
      <w:r w:rsidRPr="0080220E">
        <w:rPr>
          <w:rFonts w:ascii="Garamond" w:hAnsi="Garamond"/>
          <w:bCs/>
          <w:sz w:val="24"/>
        </w:rPr>
        <w:t>: If the contract includes a facility that is directly interconnect</w:t>
      </w:r>
      <w:r w:rsidR="00F44C70" w:rsidRPr="0080220E">
        <w:rPr>
          <w:rFonts w:ascii="Garamond" w:hAnsi="Garamond"/>
          <w:bCs/>
          <w:sz w:val="24"/>
        </w:rPr>
        <w:t>ed</w:t>
      </w:r>
      <w:r w:rsidRPr="0080220E">
        <w:rPr>
          <w:rFonts w:ascii="Garamond" w:hAnsi="Garamond"/>
          <w:bCs/>
          <w:sz w:val="24"/>
        </w:rPr>
        <w:t xml:space="preserve"> to a CBA, </w:t>
      </w:r>
      <w:r w:rsidR="00A55686" w:rsidRPr="0080220E">
        <w:rPr>
          <w:rFonts w:ascii="Garamond" w:hAnsi="Garamond"/>
          <w:bCs/>
          <w:sz w:val="24"/>
        </w:rPr>
        <w:t>select from the drop-down list</w:t>
      </w:r>
      <w:r w:rsidRPr="0080220E">
        <w:rPr>
          <w:rFonts w:ascii="Garamond" w:hAnsi="Garamond"/>
          <w:bCs/>
          <w:sz w:val="24"/>
        </w:rPr>
        <w:t xml:space="preserve"> the name of the CBA that the facility interconnects</w:t>
      </w:r>
      <w:r w:rsidR="00A55686" w:rsidRPr="0080220E">
        <w:rPr>
          <w:rFonts w:ascii="Garamond" w:hAnsi="Garamond"/>
          <w:bCs/>
          <w:sz w:val="24"/>
        </w:rPr>
        <w:t xml:space="preserve"> to</w:t>
      </w:r>
      <w:r w:rsidRPr="0080220E">
        <w:rPr>
          <w:rFonts w:ascii="Garamond" w:hAnsi="Garamond"/>
          <w:bCs/>
          <w:sz w:val="24"/>
        </w:rPr>
        <w:t>. If the contract includes more than one facility or a portfolio of assets,</w:t>
      </w:r>
      <w:r w:rsidR="00A55686" w:rsidRPr="0080220E">
        <w:rPr>
          <w:rFonts w:ascii="Garamond" w:hAnsi="Garamond"/>
          <w:bCs/>
          <w:sz w:val="24"/>
        </w:rPr>
        <w:t xml:space="preserve"> and they are all </w:t>
      </w:r>
      <w:r w:rsidR="00A55686" w:rsidRPr="0080220E">
        <w:rPr>
          <w:rFonts w:ascii="Garamond" w:hAnsi="Garamond"/>
          <w:bCs/>
          <w:sz w:val="24"/>
        </w:rPr>
        <w:lastRenderedPageBreak/>
        <w:t>located in a CBA, select the appropriate CBA. If the facilities under the contract are in different CBAs, select “Multiple.”</w:t>
      </w:r>
      <w:r w:rsidRPr="0080220E">
        <w:rPr>
          <w:rFonts w:ascii="Garamond" w:hAnsi="Garamond"/>
          <w:bCs/>
          <w:sz w:val="24"/>
        </w:rPr>
        <w:t xml:space="preserve"> If the contract is for unbundled RECs or does not include any facility that is directly interconnected to a CBA, </w:t>
      </w:r>
      <w:r w:rsidR="00A55686" w:rsidRPr="0080220E">
        <w:rPr>
          <w:rFonts w:ascii="Garamond" w:hAnsi="Garamond"/>
          <w:bCs/>
          <w:sz w:val="24"/>
        </w:rPr>
        <w:t>select</w:t>
      </w:r>
      <w:r w:rsidRPr="0080220E">
        <w:rPr>
          <w:rFonts w:ascii="Garamond" w:hAnsi="Garamond"/>
          <w:bCs/>
          <w:sz w:val="24"/>
        </w:rPr>
        <w:t xml:space="preserve"> “N/A.”</w:t>
      </w:r>
    </w:p>
    <w:p w14:paraId="6BE606EF" w14:textId="1503E750" w:rsidR="00720F63" w:rsidRPr="00720F63" w:rsidRDefault="00720F63" w:rsidP="00720F63">
      <w:pPr>
        <w:numPr>
          <w:ilvl w:val="0"/>
          <w:numId w:val="11"/>
        </w:numPr>
        <w:spacing w:after="120"/>
        <w:rPr>
          <w:rFonts w:ascii="Garamond" w:hAnsi="Garamond"/>
          <w:bCs/>
          <w:sz w:val="24"/>
        </w:rPr>
      </w:pPr>
      <w:r>
        <w:rPr>
          <w:rFonts w:ascii="Garamond" w:hAnsi="Garamond"/>
          <w:b/>
          <w:sz w:val="24"/>
        </w:rPr>
        <w:t>Repackaged Contract</w:t>
      </w:r>
      <w:r w:rsidRPr="00C23411">
        <w:rPr>
          <w:rFonts w:ascii="Garamond" w:hAnsi="Garamond"/>
          <w:bCs/>
          <w:sz w:val="24"/>
        </w:rPr>
        <w:t>:</w:t>
      </w:r>
      <w:r>
        <w:rPr>
          <w:rFonts w:ascii="Garamond" w:hAnsi="Garamond"/>
          <w:bCs/>
          <w:sz w:val="24"/>
        </w:rPr>
        <w:t xml:space="preserve"> </w:t>
      </w:r>
      <w:r w:rsidRPr="00BC0A73">
        <w:rPr>
          <w:rFonts w:ascii="Garamond" w:hAnsi="Garamond"/>
          <w:bCs/>
          <w:sz w:val="24"/>
        </w:rPr>
        <w:t xml:space="preserve">Indicate if the contract </w:t>
      </w:r>
      <w:r>
        <w:rPr>
          <w:rFonts w:ascii="Garamond" w:hAnsi="Garamond"/>
          <w:bCs/>
          <w:sz w:val="24"/>
        </w:rPr>
        <w:t>has been repackaged</w:t>
      </w:r>
      <w:r w:rsidRPr="00BC0A73">
        <w:rPr>
          <w:rFonts w:ascii="Garamond" w:hAnsi="Garamond"/>
          <w:bCs/>
          <w:sz w:val="24"/>
        </w:rPr>
        <w:t>, as defined in D.</w:t>
      </w:r>
      <w:r>
        <w:rPr>
          <w:rFonts w:ascii="Garamond" w:hAnsi="Garamond"/>
          <w:bCs/>
          <w:sz w:val="24"/>
        </w:rPr>
        <w:t>07-05-028</w:t>
      </w:r>
      <w:r w:rsidR="00025529">
        <w:rPr>
          <w:rFonts w:ascii="Garamond" w:hAnsi="Garamond"/>
          <w:bCs/>
          <w:sz w:val="24"/>
        </w:rPr>
        <w:t>, D.12-06-038</w:t>
      </w:r>
      <w:r>
        <w:rPr>
          <w:rFonts w:ascii="Garamond" w:hAnsi="Garamond"/>
          <w:bCs/>
          <w:sz w:val="24"/>
        </w:rPr>
        <w:t xml:space="preserve"> and D.17-06-026.</w:t>
      </w:r>
      <w:r w:rsidRPr="00BC0A73">
        <w:rPr>
          <w:rFonts w:ascii="Garamond" w:hAnsi="Garamond"/>
          <w:bCs/>
          <w:sz w:val="24"/>
        </w:rPr>
        <w:t xml:space="preserve"> </w:t>
      </w:r>
      <w:r>
        <w:rPr>
          <w:rFonts w:ascii="Garamond" w:hAnsi="Garamond"/>
          <w:bCs/>
          <w:sz w:val="24"/>
        </w:rPr>
        <w:t xml:space="preserve">If the contract is not repackaged, select “Not Applicable” from the drop-down list. If the contract is repackaged and the reporting LSE is the buyer, select “Repackaged – Buyer.” </w:t>
      </w:r>
      <w:r w:rsidR="00025529">
        <w:rPr>
          <w:rFonts w:ascii="Garamond" w:hAnsi="Garamond"/>
          <w:bCs/>
          <w:sz w:val="24"/>
        </w:rPr>
        <w:t xml:space="preserve">If the contract is repackaged and the reporting LSE is the seller, select “Repackaged – Seller.” </w:t>
      </w:r>
      <w:r>
        <w:rPr>
          <w:rFonts w:ascii="Garamond" w:hAnsi="Garamond"/>
          <w:bCs/>
          <w:sz w:val="24"/>
        </w:rPr>
        <w:t xml:space="preserve">A copy of both the repackaged contract and the original contract must be submitted to Energy Division.  </w:t>
      </w:r>
    </w:p>
    <w:p w14:paraId="358B4980" w14:textId="69F497DD" w:rsidR="00DE1BDE" w:rsidRPr="0080220E" w:rsidRDefault="00C25DC3" w:rsidP="00C25DC3">
      <w:pPr>
        <w:numPr>
          <w:ilvl w:val="0"/>
          <w:numId w:val="11"/>
        </w:numPr>
        <w:spacing w:after="120"/>
        <w:rPr>
          <w:rFonts w:ascii="Garamond" w:hAnsi="Garamond"/>
          <w:bCs/>
          <w:sz w:val="24"/>
        </w:rPr>
      </w:pPr>
      <w:r w:rsidRPr="00DA353D">
        <w:rPr>
          <w:rFonts w:ascii="Garamond" w:hAnsi="Garamond"/>
          <w:b/>
          <w:sz w:val="24"/>
        </w:rPr>
        <w:t>Execution Date for Substitute Energy Agreement</w:t>
      </w:r>
      <w:r w:rsidRPr="0080220E">
        <w:rPr>
          <w:rFonts w:ascii="Garamond" w:hAnsi="Garamond"/>
          <w:bCs/>
          <w:sz w:val="24"/>
        </w:rPr>
        <w:t xml:space="preserve"> (PCC 2 Only): Input the date the substitute energy agreement was originally executed.</w:t>
      </w:r>
    </w:p>
    <w:p w14:paraId="2AE9C811" w14:textId="6772F67D" w:rsidR="00C02FD5" w:rsidRPr="0080220E" w:rsidRDefault="00C25DC3" w:rsidP="00A574C7">
      <w:pPr>
        <w:numPr>
          <w:ilvl w:val="0"/>
          <w:numId w:val="11"/>
        </w:numPr>
        <w:spacing w:after="120"/>
        <w:rPr>
          <w:rFonts w:ascii="Garamond" w:hAnsi="Garamond"/>
          <w:bCs/>
          <w:sz w:val="24"/>
        </w:rPr>
      </w:pPr>
      <w:r w:rsidRPr="00DA353D">
        <w:rPr>
          <w:rFonts w:ascii="Garamond" w:hAnsi="Garamond"/>
          <w:b/>
          <w:sz w:val="24"/>
        </w:rPr>
        <w:t>Duration of Substitute Energy Agreement (PCC 2 Only</w:t>
      </w:r>
      <w:r w:rsidRPr="00A574C7">
        <w:rPr>
          <w:rFonts w:ascii="Garamond" w:hAnsi="Garamond"/>
          <w:bCs/>
          <w:sz w:val="24"/>
        </w:rPr>
        <w:t xml:space="preserve">): Input the duration of the substitute energy agreement. </w:t>
      </w:r>
    </w:p>
    <w:p w14:paraId="121AF3CE" w14:textId="7491A1FC" w:rsidR="00C25DC3" w:rsidRPr="0080220E" w:rsidRDefault="00C25DC3" w:rsidP="00DA353D">
      <w:pPr>
        <w:spacing w:after="120"/>
        <w:ind w:left="720"/>
        <w:rPr>
          <w:rFonts w:ascii="Garamond" w:hAnsi="Garamond"/>
          <w:bCs/>
          <w:sz w:val="24"/>
        </w:rPr>
      </w:pPr>
    </w:p>
    <w:p w14:paraId="2F07E4A1" w14:textId="5B94FA20" w:rsidR="00C25DC3" w:rsidRPr="00F622FF" w:rsidRDefault="00C02FD5" w:rsidP="00F622FF">
      <w:pPr>
        <w:pStyle w:val="Heading2"/>
      </w:pPr>
      <w:bookmarkStart w:id="30" w:name="_Toc40196441"/>
      <w:r w:rsidRPr="00F622FF">
        <w:t>RPS Contract Submission Process</w:t>
      </w:r>
      <w:bookmarkEnd w:id="30"/>
    </w:p>
    <w:p w14:paraId="4B3CD496" w14:textId="73E27A70" w:rsidR="00C02FD5" w:rsidRPr="009873E2" w:rsidRDefault="00C02FD5" w:rsidP="009873E2">
      <w:pPr>
        <w:rPr>
          <w:rFonts w:ascii="Garamond" w:hAnsi="Garamond"/>
          <w:bCs/>
        </w:rPr>
      </w:pPr>
      <w:r w:rsidRPr="0080220E">
        <w:rPr>
          <w:rFonts w:ascii="Garamond" w:hAnsi="Garamond"/>
          <w:bCs/>
          <w:noProof/>
          <w:sz w:val="24"/>
        </w:rPr>
        <mc:AlternateContent>
          <mc:Choice Requires="wps">
            <w:drawing>
              <wp:anchor distT="0" distB="0" distL="114300" distR="114300" simplePos="0" relativeHeight="251669504" behindDoc="0" locked="0" layoutInCell="1" allowOverlap="1" wp14:anchorId="1DC630D6" wp14:editId="3ED92C5B">
                <wp:simplePos x="0" y="0"/>
                <wp:positionH relativeFrom="column">
                  <wp:posOffset>-85725</wp:posOffset>
                </wp:positionH>
                <wp:positionV relativeFrom="paragraph">
                  <wp:posOffset>207645</wp:posOffset>
                </wp:positionV>
                <wp:extent cx="1828800" cy="4438650"/>
                <wp:effectExtent l="0" t="0" r="12700" b="1905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4438650"/>
                        </a:xfrm>
                        <a:prstGeom prst="rect">
                          <a:avLst/>
                        </a:prstGeom>
                        <a:solidFill>
                          <a:schemeClr val="accent1">
                            <a:lumMod val="20000"/>
                            <a:lumOff val="80000"/>
                          </a:schemeClr>
                        </a:solidFill>
                        <a:ln w="6350">
                          <a:solidFill>
                            <a:prstClr val="black"/>
                          </a:solidFill>
                        </a:ln>
                        <a:effectLst/>
                      </wps:spPr>
                      <wps:txbx>
                        <w:txbxContent>
                          <w:p w14:paraId="3FC21696" w14:textId="77777777" w:rsidR="00A60BAB" w:rsidRPr="00C25DC3" w:rsidRDefault="00A60BAB" w:rsidP="00C02FD5">
                            <w:pPr>
                              <w:numPr>
                                <w:ilvl w:val="0"/>
                                <w:numId w:val="11"/>
                              </w:numPr>
                              <w:spacing w:after="120"/>
                              <w:rPr>
                                <w:b/>
                              </w:rPr>
                            </w:pPr>
                            <w:r w:rsidRPr="00C25DC3">
                              <w:rPr>
                                <w:b/>
                              </w:rPr>
                              <w:t xml:space="preserve">Process for Secure </w:t>
                            </w:r>
                            <w:r>
                              <w:rPr>
                                <w:b/>
                              </w:rPr>
                              <w:t xml:space="preserve">RPS </w:t>
                            </w:r>
                            <w:r w:rsidRPr="00C25DC3">
                              <w:rPr>
                                <w:b/>
                              </w:rPr>
                              <w:t>Contract Submission:</w:t>
                            </w:r>
                          </w:p>
                          <w:p w14:paraId="13E94466" w14:textId="30F7E735" w:rsidR="00A60BAB" w:rsidRDefault="00A60BAB" w:rsidP="00C02FD5">
                            <w:pPr>
                              <w:numPr>
                                <w:ilvl w:val="0"/>
                                <w:numId w:val="35"/>
                              </w:numPr>
                              <w:spacing w:after="120"/>
                            </w:pPr>
                            <w:r>
                              <w:t xml:space="preserve">Each year, retail sellers </w:t>
                            </w:r>
                            <w:r w:rsidR="00C26D40">
                              <w:t xml:space="preserve">must </w:t>
                            </w:r>
                            <w:r>
                              <w:t xml:space="preserve">submit a zipped contracts file with two primary folders inside – a Confidential contract folder and a Public contract folder. If </w:t>
                            </w:r>
                            <w:r w:rsidR="00C26D40">
                              <w:t xml:space="preserve">the contract has been terminated for a year or </w:t>
                            </w:r>
                            <w:r>
                              <w:t xml:space="preserve">there have been deliveries under the contract for three years of more, </w:t>
                            </w:r>
                            <w:r w:rsidR="00C26D40">
                              <w:t xml:space="preserve">whichever occurs sooner, </w:t>
                            </w:r>
                            <w:r>
                              <w:t>the contract is automatically classified as public unless otherwise designated.</w:t>
                            </w:r>
                            <w:r w:rsidRPr="00E8370F">
                              <w:t xml:space="preserve"> </w:t>
                            </w:r>
                            <w:r>
                              <w:t xml:space="preserve">All zipped contract files </w:t>
                            </w:r>
                            <w:r w:rsidR="00C26D40">
                              <w:t xml:space="preserve">must </w:t>
                            </w:r>
                            <w:r>
                              <w:t xml:space="preserve">be submitted through the CPUC’s secure file transfer protocol (FTP) addressed to </w:t>
                            </w:r>
                            <w:hyperlink r:id="rId13" w:history="1">
                              <w:r w:rsidRPr="00CC6C20">
                                <w:rPr>
                                  <w:rStyle w:val="Hyperlink"/>
                                </w:rPr>
                                <w:t>rpscompliance@cpuc.ca.gov</w:t>
                              </w:r>
                            </w:hyperlink>
                            <w:r>
                              <w:t xml:space="preserve">.  </w:t>
                            </w:r>
                          </w:p>
                          <w:p w14:paraId="76F1B09A" w14:textId="316DA922" w:rsidR="00A60BAB" w:rsidRDefault="00A60BAB" w:rsidP="00C02FD5">
                            <w:pPr>
                              <w:numPr>
                                <w:ilvl w:val="0"/>
                                <w:numId w:val="35"/>
                              </w:numPr>
                              <w:spacing w:after="120"/>
                            </w:pPr>
                            <w:r>
                              <w:t xml:space="preserve">Within the confidential and public contract folders, there </w:t>
                            </w:r>
                            <w:r w:rsidR="00C26D40">
                              <w:t xml:space="preserve">must </w:t>
                            </w:r>
                            <w:r>
                              <w:t>be individual folders for each facility that contains all relevant contracts to that facility.</w:t>
                            </w:r>
                            <w:r w:rsidRPr="0030472E">
                              <w:t xml:space="preserve"> </w:t>
                            </w:r>
                            <w:r>
                              <w:t xml:space="preserve">Each individual folder containing all relevant contracts should be named as the facility or contract name itself (e.g. Pacific Wind Project). </w:t>
                            </w:r>
                          </w:p>
                          <w:p w14:paraId="311102F3" w14:textId="77777777" w:rsidR="00A60BAB" w:rsidRDefault="00A60BAB" w:rsidP="00C02FD5">
                            <w:pPr>
                              <w:numPr>
                                <w:ilvl w:val="2"/>
                                <w:numId w:val="11"/>
                              </w:numPr>
                              <w:spacing w:after="120"/>
                            </w:pPr>
                            <w:r>
                              <w:t>The relevant contracts include: the executed original power purchase agreements, amendments, and relevant energy agreements (e.g. substitute energy agreement or dynamic transfer agreement).</w:t>
                            </w:r>
                          </w:p>
                          <w:p w14:paraId="74AAF99E" w14:textId="77777777" w:rsidR="00A60BAB" w:rsidRDefault="00A60BAB" w:rsidP="00C02FD5">
                            <w:pPr>
                              <w:numPr>
                                <w:ilvl w:val="0"/>
                                <w:numId w:val="35"/>
                              </w:numPr>
                              <w:spacing w:after="120"/>
                            </w:pPr>
                            <w:r>
                              <w:t>Within the individual facility folders, each individual contract file should be named with the following naming convention:</w:t>
                            </w:r>
                          </w:p>
                          <w:p w14:paraId="5E371E54" w14:textId="24168532" w:rsidR="00A60BAB" w:rsidRPr="00A25650" w:rsidRDefault="00A60BAB" w:rsidP="00C02FD5">
                            <w:pPr>
                              <w:numPr>
                                <w:ilvl w:val="1"/>
                                <w:numId w:val="35"/>
                              </w:numPr>
                              <w:spacing w:after="120"/>
                            </w:pPr>
                            <w:r>
                              <w:t xml:space="preserve">Date of execution, facility name, type of agreement (e.g. </w:t>
                            </w:r>
                            <w:r w:rsidRPr="00A95219">
                              <w:rPr>
                                <w:b/>
                              </w:rPr>
                              <w:t xml:space="preserve">2010-04-14, Facility Name, PPA </w:t>
                            </w:r>
                            <w:r>
                              <w:t xml:space="preserve">or </w:t>
                            </w:r>
                            <w:r w:rsidRPr="00A95219">
                              <w:rPr>
                                <w:b/>
                              </w:rPr>
                              <w:t>2010-08-14, Facility Name, Amendment 1</w: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C630D6" id="_x0000_t202" coordsize="21600,21600" o:spt="202" path="m,l,21600r21600,l21600,xe">
                <v:stroke joinstyle="miter"/>
                <v:path gradientshapeok="t" o:connecttype="rect"/>
              </v:shapetype>
              <v:shape id="Text Box 15" o:spid="_x0000_s1028" type="#_x0000_t202" style="position:absolute;margin-left:-6.75pt;margin-top:16.35pt;width:2in;height:349.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" fillcolor="#dbe5f1 [660]" strokeweight=".5pt">
                <v:textbox>
                  <w:txbxContent>
                    <w:p w14:paraId="3FC21696" w14:textId="77777777" w:rsidR="00A60BAB" w:rsidRPr="00C25DC3" w:rsidRDefault="00A60BAB" w:rsidP="00C02FD5">
                      <w:pPr>
                        <w:numPr>
                          <w:ilvl w:val="0"/>
                          <w:numId w:val="11"/>
                        </w:numPr>
                        <w:spacing w:after="120"/>
                        <w:rPr>
                          <w:b/>
                        </w:rPr>
                      </w:pPr>
                      <w:r w:rsidRPr="00C25DC3">
                        <w:rPr>
                          <w:b/>
                        </w:rPr>
                        <w:t xml:space="preserve">Process for Secure </w:t>
                      </w:r>
                      <w:r>
                        <w:rPr>
                          <w:b/>
                        </w:rPr>
                        <w:t xml:space="preserve">RPS </w:t>
                      </w:r>
                      <w:r w:rsidRPr="00C25DC3">
                        <w:rPr>
                          <w:b/>
                        </w:rPr>
                        <w:t>Contract Submission:</w:t>
                      </w:r>
                    </w:p>
                    <w:p w14:paraId="13E94466" w14:textId="30F7E735" w:rsidR="00A60BAB" w:rsidRDefault="00A60BAB" w:rsidP="00C02FD5">
                      <w:pPr>
                        <w:numPr>
                          <w:ilvl w:val="0"/>
                          <w:numId w:val="35"/>
                        </w:numPr>
                        <w:spacing w:after="120"/>
                      </w:pPr>
                      <w:r>
                        <w:t xml:space="preserve">Each year, retail sellers </w:t>
                      </w:r>
                      <w:r w:rsidR="00C26D40">
                        <w:t xml:space="preserve">must </w:t>
                      </w:r>
                      <w:r>
                        <w:t xml:space="preserve">submit a zipped contracts file with two primary folders inside – a Confidential contract folder and a Public contract folder. If </w:t>
                      </w:r>
                      <w:r w:rsidR="00C26D40">
                        <w:t xml:space="preserve">the contract has been terminated for a year or </w:t>
                      </w:r>
                      <w:r>
                        <w:t xml:space="preserve">there have been deliveries under the contract for three years of more, </w:t>
                      </w:r>
                      <w:r w:rsidR="00C26D40">
                        <w:t xml:space="preserve">whichever occurs sooner, </w:t>
                      </w:r>
                      <w:r>
                        <w:t>the contract is automatically classified as public unless otherwise designated.</w:t>
                      </w:r>
                      <w:r w:rsidRPr="00E8370F">
                        <w:t xml:space="preserve"> </w:t>
                      </w:r>
                      <w:r>
                        <w:t xml:space="preserve">All zipped contract files </w:t>
                      </w:r>
                      <w:r w:rsidR="00C26D40">
                        <w:t xml:space="preserve">must </w:t>
                      </w:r>
                      <w:r>
                        <w:t xml:space="preserve">be submitted through the CPUC’s secure file transfer protocol (FTP) addressed to </w:t>
                      </w:r>
                      <w:hyperlink r:id="rId14" w:history="1">
                        <w:r w:rsidRPr="00CC6C20">
                          <w:rPr>
                            <w:rStyle w:val="Hyperlink"/>
                          </w:rPr>
                          <w:t>rpscompliance@cpuc.ca.gov</w:t>
                        </w:r>
                      </w:hyperlink>
                      <w:r>
                        <w:t xml:space="preserve">.  </w:t>
                      </w:r>
                    </w:p>
                    <w:p w14:paraId="76F1B09A" w14:textId="316DA922" w:rsidR="00A60BAB" w:rsidRDefault="00A60BAB" w:rsidP="00C02FD5">
                      <w:pPr>
                        <w:numPr>
                          <w:ilvl w:val="0"/>
                          <w:numId w:val="35"/>
                        </w:numPr>
                        <w:spacing w:after="120"/>
                      </w:pPr>
                      <w:r>
                        <w:t xml:space="preserve">Within the confidential and public contract folders, there </w:t>
                      </w:r>
                      <w:r w:rsidR="00C26D40">
                        <w:t xml:space="preserve">must </w:t>
                      </w:r>
                      <w:r>
                        <w:t>be individual folders for each facility that contains all relevant contracts to that facility.</w:t>
                      </w:r>
                      <w:r w:rsidRPr="0030472E">
                        <w:t xml:space="preserve"> </w:t>
                      </w:r>
                      <w:r>
                        <w:t xml:space="preserve">Each individual folder containing all relevant contracts should be named as the facility or contract name itself (e.g. Pacific Wind Project). </w:t>
                      </w:r>
                    </w:p>
                    <w:p w14:paraId="311102F3" w14:textId="77777777" w:rsidR="00A60BAB" w:rsidRDefault="00A60BAB" w:rsidP="00C02FD5">
                      <w:pPr>
                        <w:numPr>
                          <w:ilvl w:val="2"/>
                          <w:numId w:val="11"/>
                        </w:numPr>
                        <w:spacing w:after="120"/>
                      </w:pPr>
                      <w:r>
                        <w:t>The relevant contracts include: the executed original power purchase agreements, amendments, and relevant energy agreements (e.g. substitute energy agreement or dynamic transfer agreement).</w:t>
                      </w:r>
                    </w:p>
                    <w:p w14:paraId="74AAF99E" w14:textId="77777777" w:rsidR="00A60BAB" w:rsidRDefault="00A60BAB" w:rsidP="00C02FD5">
                      <w:pPr>
                        <w:numPr>
                          <w:ilvl w:val="0"/>
                          <w:numId w:val="35"/>
                        </w:numPr>
                        <w:spacing w:after="120"/>
                      </w:pPr>
                      <w:r>
                        <w:t>Within the individual facility folders, each individual contract file should be named with the following naming convention:</w:t>
                      </w:r>
                    </w:p>
                    <w:p w14:paraId="5E371E54" w14:textId="24168532" w:rsidR="00A60BAB" w:rsidRPr="00A25650" w:rsidRDefault="00A60BAB" w:rsidP="00C02FD5">
                      <w:pPr>
                        <w:numPr>
                          <w:ilvl w:val="1"/>
                          <w:numId w:val="35"/>
                        </w:numPr>
                        <w:spacing w:after="120"/>
                      </w:pPr>
                      <w:r>
                        <w:t xml:space="preserve">Date of execution, facility name, type of agreement (e.g. </w:t>
                      </w:r>
                      <w:r w:rsidRPr="00A95219">
                        <w:rPr>
                          <w:b/>
                        </w:rPr>
                        <w:t xml:space="preserve">2010-04-14, Facility Name, PPA </w:t>
                      </w:r>
                      <w:r>
                        <w:t xml:space="preserve">or </w:t>
                      </w:r>
                      <w:r w:rsidRPr="00A95219">
                        <w:rPr>
                          <w:b/>
                        </w:rPr>
                        <w:t>2010-08-14, Facility Name, Amendment 1</w:t>
                      </w:r>
                      <w:r>
                        <w:t xml:space="preserve">). </w:t>
                      </w:r>
                    </w:p>
                  </w:txbxContent>
                </v:textbox>
                <w10:wrap type="square"/>
              </v:shape>
            </w:pict>
          </mc:Fallback>
        </mc:AlternateContent>
      </w:r>
    </w:p>
    <w:p w14:paraId="5CDAB034" w14:textId="3E137E84" w:rsidR="00C25DC3" w:rsidRPr="00F622FF" w:rsidRDefault="00C25DC3" w:rsidP="00DA353D">
      <w:pPr>
        <w:pStyle w:val="Heading2"/>
      </w:pPr>
      <w:bookmarkStart w:id="31" w:name="_Toc40196442"/>
      <w:r w:rsidRPr="00F622FF">
        <w:lastRenderedPageBreak/>
        <w:t>Requirements to Substantiate PCC 1 Claims from Facilities that Have a First Point of Interconnection within a California Balancing Authority</w:t>
      </w:r>
      <w:bookmarkEnd w:id="31"/>
      <w:r w:rsidRPr="00F622FF">
        <w:t xml:space="preserve"> </w:t>
      </w:r>
    </w:p>
    <w:p w14:paraId="4CA6B22D" w14:textId="6B4A2D64" w:rsidR="00C25DC3" w:rsidRPr="0080220E" w:rsidRDefault="00C25DC3" w:rsidP="00C25DC3">
      <w:pPr>
        <w:spacing w:after="120"/>
        <w:rPr>
          <w:rFonts w:ascii="Garamond" w:hAnsi="Garamond"/>
          <w:bCs/>
          <w:sz w:val="24"/>
        </w:rPr>
      </w:pPr>
      <w:r w:rsidRPr="0080220E">
        <w:rPr>
          <w:rFonts w:ascii="Garamond" w:hAnsi="Garamond"/>
          <w:bCs/>
          <w:sz w:val="24"/>
        </w:rPr>
        <w:t xml:space="preserve">In addition to the information submitted in the Contract </w:t>
      </w:r>
      <w:r w:rsidR="001E516A" w:rsidRPr="0080220E">
        <w:rPr>
          <w:rFonts w:ascii="Garamond" w:hAnsi="Garamond"/>
          <w:bCs/>
          <w:sz w:val="24"/>
        </w:rPr>
        <w:t xml:space="preserve">Details </w:t>
      </w:r>
      <w:r w:rsidRPr="0080220E">
        <w:rPr>
          <w:rFonts w:ascii="Garamond" w:hAnsi="Garamond"/>
          <w:bCs/>
          <w:sz w:val="24"/>
        </w:rPr>
        <w:t xml:space="preserve">tab and a copy of the RPS </w:t>
      </w:r>
      <w:r w:rsidR="001E516A" w:rsidRPr="0080220E">
        <w:rPr>
          <w:rFonts w:ascii="Garamond" w:hAnsi="Garamond"/>
          <w:bCs/>
          <w:sz w:val="24"/>
        </w:rPr>
        <w:t>contract(s)</w:t>
      </w:r>
      <w:r w:rsidRPr="0080220E">
        <w:rPr>
          <w:rFonts w:ascii="Garamond" w:hAnsi="Garamond"/>
          <w:bCs/>
          <w:sz w:val="24"/>
        </w:rPr>
        <w:t xml:space="preserve">, </w:t>
      </w:r>
      <w:r w:rsidR="001E516A" w:rsidRPr="0080220E">
        <w:rPr>
          <w:rFonts w:ascii="Garamond" w:hAnsi="Garamond"/>
          <w:bCs/>
          <w:sz w:val="24"/>
        </w:rPr>
        <w:t>r</w:t>
      </w:r>
      <w:r w:rsidRPr="0080220E">
        <w:rPr>
          <w:rFonts w:ascii="Garamond" w:hAnsi="Garamond"/>
          <w:bCs/>
          <w:sz w:val="24"/>
        </w:rPr>
        <w:t xml:space="preserve">etail sellers must demonstrate that the facility’s first point of interconnection is within a CBA.  If the retail seller’s contract does not specify a point of interconnection in a CBA, retail sellers can substantiate a direct interconnection by providing interconnection agreements demonstrating a first point of interconnection within a CBA, or by citing Federal Energy Regulatory Commission (FERC) dockets that illustrate a point of interconnection.  </w:t>
      </w:r>
    </w:p>
    <w:p w14:paraId="320E48C8" w14:textId="562C1438" w:rsidR="00C25DC3" w:rsidRPr="0080220E" w:rsidRDefault="00C25DC3" w:rsidP="00C25DC3">
      <w:pPr>
        <w:spacing w:after="120"/>
        <w:rPr>
          <w:rFonts w:ascii="Garamond" w:hAnsi="Garamond"/>
          <w:bCs/>
          <w:sz w:val="24"/>
        </w:rPr>
      </w:pPr>
      <w:r w:rsidRPr="0080220E">
        <w:rPr>
          <w:rFonts w:ascii="Garamond" w:hAnsi="Garamond"/>
          <w:bCs/>
          <w:sz w:val="24"/>
        </w:rPr>
        <w:t xml:space="preserve">Lastly, in order to demonstrate a PCC 1 claim directly interconnected to a CBA, staff requires retail sellers to submit a copy of their WREGIS Compliance Report demonstrating the time frame which PCC 1 claims were generated and the facility source of generated amounts. </w:t>
      </w:r>
    </w:p>
    <w:p w14:paraId="690AF1BA" w14:textId="6B1CDE06" w:rsidR="00C25DC3" w:rsidRPr="0080220E" w:rsidRDefault="00C25DC3" w:rsidP="00C25DC3">
      <w:pPr>
        <w:spacing w:after="120"/>
        <w:rPr>
          <w:rFonts w:ascii="Garamond" w:hAnsi="Garamond" w:cs="Arial"/>
          <w:bCs/>
          <w:sz w:val="24"/>
        </w:rPr>
      </w:pPr>
      <w:r w:rsidRPr="0080220E">
        <w:rPr>
          <w:rFonts w:ascii="Garamond" w:hAnsi="Garamond" w:cs="Arial"/>
          <w:bCs/>
          <w:sz w:val="24"/>
        </w:rPr>
        <w:t xml:space="preserve">Energy Division staff may request additional information if the supporting documentation above is determined insufficient. </w:t>
      </w:r>
    </w:p>
    <w:p w14:paraId="63E85AF0" w14:textId="32D2D5C6" w:rsidR="00C25DC3" w:rsidRPr="0080220E" w:rsidRDefault="00C25DC3" w:rsidP="00C25DC3">
      <w:pPr>
        <w:pStyle w:val="Default"/>
        <w:spacing w:after="120"/>
        <w:rPr>
          <w:rFonts w:ascii="Garamond" w:hAnsi="Garamond"/>
          <w:bCs/>
          <w:color w:val="auto"/>
        </w:rPr>
      </w:pPr>
      <w:r w:rsidRPr="0080220E">
        <w:rPr>
          <w:rFonts w:ascii="Garamond" w:hAnsi="Garamond"/>
          <w:bCs/>
          <w:color w:val="auto"/>
        </w:rPr>
        <w:t>See Table III.B on the next page for an illustration of the Energy Division review process.</w:t>
      </w:r>
    </w:p>
    <w:p w14:paraId="63F59861" w14:textId="7BD766A3" w:rsidR="00C25DC3" w:rsidRPr="00DA353D" w:rsidRDefault="00C25DC3" w:rsidP="00C25DC3">
      <w:pPr>
        <w:spacing w:after="120"/>
        <w:rPr>
          <w:rFonts w:ascii="Garamond" w:hAnsi="Garamond" w:cs="Arial"/>
          <w:bCs/>
          <w:sz w:val="24"/>
        </w:rPr>
      </w:pPr>
      <w:r w:rsidRPr="00DA353D">
        <w:rPr>
          <w:rFonts w:ascii="Garamond" w:hAnsi="Garamond" w:cs="Arial"/>
          <w:bCs/>
          <w:sz w:val="24"/>
        </w:rPr>
        <w:br w:type="page"/>
      </w:r>
      <w:r w:rsidRPr="00DA353D">
        <w:rPr>
          <w:rFonts w:ascii="Garamond" w:hAnsi="Garamond" w:cs="Arial"/>
          <w:bCs/>
          <w:sz w:val="24"/>
        </w:rPr>
        <w:lastRenderedPageBreak/>
        <w:t>Table III.B. Energy Division Process for Reviewing Required Documents for PCC 1 Claims</w:t>
      </w:r>
      <w:r w:rsidRPr="00DA353D">
        <w:rPr>
          <w:rFonts w:ascii="Garamond" w:hAnsi="Garamond"/>
          <w:bCs/>
          <w:sz w:val="24"/>
        </w:rPr>
        <w:t xml:space="preserve"> </w:t>
      </w:r>
      <w:r w:rsidRPr="00DA353D">
        <w:rPr>
          <w:rFonts w:ascii="Garamond" w:hAnsi="Garamond" w:cs="Arial"/>
          <w:bCs/>
          <w:sz w:val="24"/>
        </w:rPr>
        <w:t>from Facilities that Have a First Point of Interconnection within a CBA</w:t>
      </w:r>
    </w:p>
    <w:p w14:paraId="5FE3B05B" w14:textId="5CE43F9A" w:rsidR="00C25DC3" w:rsidRPr="0080220E" w:rsidRDefault="009873E2" w:rsidP="00C25DC3">
      <w:pPr>
        <w:spacing w:after="120"/>
        <w:jc w:val="center"/>
        <w:rPr>
          <w:rFonts w:ascii="Garamond" w:hAnsi="Garamond"/>
          <w:bCs/>
          <w:sz w:val="24"/>
        </w:rPr>
      </w:pPr>
      <w:r>
        <w:rPr>
          <w:rFonts w:ascii="Garamond" w:hAnsi="Garamond"/>
          <w:bCs/>
          <w:noProof/>
          <w:sz w:val="24"/>
        </w:rPr>
        <mc:AlternateContent>
          <mc:Choice Requires="wps">
            <w:drawing>
              <wp:anchor distT="0" distB="0" distL="114300" distR="114300" simplePos="0" relativeHeight="251708416" behindDoc="0" locked="0" layoutInCell="1" allowOverlap="1" wp14:anchorId="3F21B5B1" wp14:editId="05AAA06C">
                <wp:simplePos x="0" y="0"/>
                <wp:positionH relativeFrom="column">
                  <wp:posOffset>2963333</wp:posOffset>
                </wp:positionH>
                <wp:positionV relativeFrom="paragraph">
                  <wp:posOffset>3966633</wp:posOffset>
                </wp:positionV>
                <wp:extent cx="2345266" cy="447040"/>
                <wp:effectExtent l="0" t="0" r="4445" b="0"/>
                <wp:wrapNone/>
                <wp:docPr id="31" name="Text Box 31"/>
                <wp:cNvGraphicFramePr/>
                <a:graphic xmlns:a="http://schemas.openxmlformats.org/drawingml/2006/main">
                  <a:graphicData uri="http://schemas.microsoft.com/office/word/2010/wordprocessingShape">
                    <wps:wsp>
                      <wps:cNvSpPr txBox="1"/>
                      <wps:spPr>
                        <a:xfrm>
                          <a:off x="0" y="0"/>
                          <a:ext cx="2345266" cy="447040"/>
                        </a:xfrm>
                        <a:prstGeom prst="rect">
                          <a:avLst/>
                        </a:prstGeom>
                        <a:solidFill>
                          <a:schemeClr val="lt1"/>
                        </a:solidFill>
                        <a:ln w="6350">
                          <a:noFill/>
                        </a:ln>
                      </wps:spPr>
                      <wps:txbx>
                        <w:txbxContent>
                          <w:p w14:paraId="0A43558E" w14:textId="7E60D0E5" w:rsidR="00A60BAB" w:rsidRPr="00E85BAD" w:rsidRDefault="00A60BAB" w:rsidP="00F6362F">
                            <w:pPr>
                              <w:rPr>
                                <w:sz w:val="18"/>
                                <w:szCs w:val="20"/>
                                <w:u w:val="single"/>
                              </w:rPr>
                            </w:pPr>
                            <w:r w:rsidRPr="00E85BAD">
                              <w:rPr>
                                <w:sz w:val="18"/>
                                <w:szCs w:val="20"/>
                                <w:u w:val="single"/>
                              </w:rPr>
                              <w:t>Compare Contract Details tab to</w:t>
                            </w:r>
                            <w:r>
                              <w:rPr>
                                <w:sz w:val="18"/>
                                <w:szCs w:val="20"/>
                                <w:u w:val="single"/>
                              </w:rPr>
                              <w:t xml:space="preserve">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B5B1" id="_x0000_t202" coordsize="21600,21600" o:spt="202" path="m,l,21600r21600,l21600,xe">
                <v:stroke joinstyle="miter"/>
                <v:path gradientshapeok="t" o:connecttype="rect"/>
              </v:shapetype>
              <v:shape id="Text Box 31" o:spid="_x0000_s1029" type="#_x0000_t202" style="position:absolute;left:0;text-align:left;margin-left:233.35pt;margin-top:312.35pt;width:184.65pt;height:3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" fillcolor="white [3201]" stroked="f" strokeweight=".5pt">
                <v:textbox>
                  <w:txbxContent>
                    <w:p w14:paraId="0A43558E" w14:textId="7E60D0E5" w:rsidR="00A60BAB" w:rsidRPr="00E85BAD" w:rsidRDefault="00A60BAB" w:rsidP="00F6362F">
                      <w:pPr>
                        <w:rPr>
                          <w:sz w:val="18"/>
                          <w:szCs w:val="20"/>
                          <w:u w:val="single"/>
                        </w:rPr>
                      </w:pPr>
                      <w:r w:rsidRPr="00E85BAD">
                        <w:rPr>
                          <w:sz w:val="18"/>
                          <w:szCs w:val="20"/>
                          <w:u w:val="single"/>
                        </w:rPr>
                        <w:t>Compare Contract Details tab to</w:t>
                      </w:r>
                      <w:r>
                        <w:rPr>
                          <w:sz w:val="18"/>
                          <w:szCs w:val="20"/>
                          <w:u w:val="single"/>
                        </w:rPr>
                        <w:t xml:space="preserve"> WREGIS Compliance Reports to confirm:</w:t>
                      </w:r>
                    </w:p>
                  </w:txbxContent>
                </v:textbox>
              </v:shape>
            </w:pict>
          </mc:Fallback>
        </mc:AlternateContent>
      </w:r>
      <w:r w:rsidR="00A1590C">
        <w:rPr>
          <w:rFonts w:ascii="Garamond" w:hAnsi="Garamond"/>
          <w:bCs/>
          <w:noProof/>
          <w:sz w:val="24"/>
        </w:rPr>
        <mc:AlternateContent>
          <mc:Choice Requires="wps">
            <w:drawing>
              <wp:anchor distT="0" distB="0" distL="114300" distR="114300" simplePos="0" relativeHeight="251712512" behindDoc="0" locked="0" layoutInCell="1" allowOverlap="1" wp14:anchorId="639E1455" wp14:editId="02138704">
                <wp:simplePos x="0" y="0"/>
                <wp:positionH relativeFrom="column">
                  <wp:posOffset>3618689</wp:posOffset>
                </wp:positionH>
                <wp:positionV relativeFrom="paragraph">
                  <wp:posOffset>1117870</wp:posOffset>
                </wp:positionV>
                <wp:extent cx="456849" cy="233464"/>
                <wp:effectExtent l="0" t="0" r="635" b="0"/>
                <wp:wrapNone/>
                <wp:docPr id="33" name="Text Box 33"/>
                <wp:cNvGraphicFramePr/>
                <a:graphic xmlns:a="http://schemas.openxmlformats.org/drawingml/2006/main">
                  <a:graphicData uri="http://schemas.microsoft.com/office/word/2010/wordprocessingShape">
                    <wps:wsp>
                      <wps:cNvSpPr txBox="1"/>
                      <wps:spPr>
                        <a:xfrm>
                          <a:off x="0" y="0"/>
                          <a:ext cx="456849" cy="233464"/>
                        </a:xfrm>
                        <a:prstGeom prst="rect">
                          <a:avLst/>
                        </a:prstGeom>
                        <a:solidFill>
                          <a:schemeClr val="lt1"/>
                        </a:solidFill>
                        <a:ln w="6350">
                          <a:noFill/>
                        </a:ln>
                      </wps:spPr>
                      <wps:txbx>
                        <w:txbxContent>
                          <w:p w14:paraId="36B022F8" w14:textId="73384B72" w:rsidR="00A60BAB" w:rsidRPr="00A1590C" w:rsidRDefault="00A60BAB" w:rsidP="00A1590C">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E1455" id="Text Box 33" o:spid="_x0000_s1029" type="#_x0000_t202" style="position:absolute;left:0;text-align:left;margin-left:284.95pt;margin-top:88pt;width:35.9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" fillcolor="white [3201]" stroked="f" strokeweight=".5pt">
                <v:textbox>
                  <w:txbxContent>
                    <w:p w14:paraId="36B022F8" w14:textId="73384B72" w:rsidR="00A60BAB" w:rsidRPr="00A1590C" w:rsidRDefault="00A60BAB" w:rsidP="00A1590C">
                      <w:pPr>
                        <w:rPr>
                          <w:sz w:val="16"/>
                          <w:szCs w:val="18"/>
                        </w:rPr>
                      </w:pPr>
                    </w:p>
                  </w:txbxContent>
                </v:textbox>
              </v:shape>
            </w:pict>
          </mc:Fallback>
        </mc:AlternateContent>
      </w:r>
      <w:r w:rsidR="00DE1A6A">
        <w:rPr>
          <w:rFonts w:ascii="Garamond" w:hAnsi="Garamond"/>
          <w:bCs/>
          <w:noProof/>
          <w:sz w:val="24"/>
        </w:rPr>
        <mc:AlternateContent>
          <mc:Choice Requires="wps">
            <w:drawing>
              <wp:anchor distT="0" distB="0" distL="114300" distR="114300" simplePos="0" relativeHeight="251710464" behindDoc="0" locked="0" layoutInCell="1" allowOverlap="1" wp14:anchorId="2DFA7184" wp14:editId="0B16A71E">
                <wp:simplePos x="0" y="0"/>
                <wp:positionH relativeFrom="column">
                  <wp:posOffset>612843</wp:posOffset>
                </wp:positionH>
                <wp:positionV relativeFrom="paragraph">
                  <wp:posOffset>1244330</wp:posOffset>
                </wp:positionV>
                <wp:extent cx="1371600" cy="23346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371600" cy="233464"/>
                        </a:xfrm>
                        <a:prstGeom prst="rect">
                          <a:avLst/>
                        </a:prstGeom>
                        <a:solidFill>
                          <a:schemeClr val="lt1"/>
                        </a:solidFill>
                        <a:ln w="6350">
                          <a:noFill/>
                        </a:ln>
                      </wps:spPr>
                      <wps:txbx>
                        <w:txbxContent>
                          <w:p w14:paraId="112D7115" w14:textId="764CA8D7" w:rsidR="00A60BAB" w:rsidRPr="00A1590C" w:rsidRDefault="00A60BAB" w:rsidP="00DE1A6A">
                            <w:pPr>
                              <w:rPr>
                                <w:sz w:val="16"/>
                                <w:szCs w:val="18"/>
                              </w:rPr>
                            </w:pPr>
                            <w:r w:rsidRPr="00A1590C">
                              <w:rPr>
                                <w:sz w:val="16"/>
                                <w:szCs w:val="18"/>
                              </w:rPr>
                              <w:t xml:space="preserve">Contract Details tab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A7184" id="Text Box 32" o:spid="_x0000_s1031" type="#_x0000_t202" style="position:absolute;left:0;text-align:left;margin-left:48.25pt;margin-top:98pt;width:108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" fillcolor="white [3201]" stroked="f" strokeweight=".5pt">
                <v:textbox>
                  <w:txbxContent>
                    <w:p w14:paraId="112D7115" w14:textId="764CA8D7" w:rsidR="00A60BAB" w:rsidRPr="00A1590C" w:rsidRDefault="00A60BAB" w:rsidP="00DE1A6A">
                      <w:pPr>
                        <w:rPr>
                          <w:sz w:val="16"/>
                          <w:szCs w:val="18"/>
                        </w:rPr>
                      </w:pPr>
                      <w:r w:rsidRPr="00A1590C">
                        <w:rPr>
                          <w:sz w:val="16"/>
                          <w:szCs w:val="18"/>
                        </w:rPr>
                        <w:t xml:space="preserve">Contract Details tab </w:t>
                      </w:r>
                    </w:p>
                  </w:txbxContent>
                </v:textbox>
              </v:shape>
            </w:pict>
          </mc:Fallback>
        </mc:AlternateContent>
      </w:r>
      <w:r w:rsidR="00E85BAD">
        <w:rPr>
          <w:rFonts w:ascii="Garamond" w:hAnsi="Garamond"/>
          <w:bCs/>
          <w:noProof/>
          <w:sz w:val="24"/>
        </w:rPr>
        <mc:AlternateContent>
          <mc:Choice Requires="wps">
            <w:drawing>
              <wp:anchor distT="0" distB="0" distL="114300" distR="114300" simplePos="0" relativeHeight="251706368" behindDoc="0" locked="0" layoutInCell="1" allowOverlap="1" wp14:anchorId="740F0486" wp14:editId="582BDA87">
                <wp:simplePos x="0" y="0"/>
                <wp:positionH relativeFrom="column">
                  <wp:posOffset>613626</wp:posOffset>
                </wp:positionH>
                <wp:positionV relativeFrom="paragraph">
                  <wp:posOffset>669925</wp:posOffset>
                </wp:positionV>
                <wp:extent cx="3481557" cy="447094"/>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81557" cy="447094"/>
                        </a:xfrm>
                        <a:prstGeom prst="rect">
                          <a:avLst/>
                        </a:prstGeom>
                        <a:solidFill>
                          <a:schemeClr val="lt1"/>
                        </a:solidFill>
                        <a:ln w="6350">
                          <a:noFill/>
                        </a:ln>
                      </wps:spPr>
                      <wps:txbx>
                        <w:txbxContent>
                          <w:p w14:paraId="7F597F2F" w14:textId="43105754" w:rsidR="00A60BAB" w:rsidRPr="00E85BAD" w:rsidRDefault="00A60BAB">
                            <w:pPr>
                              <w:rPr>
                                <w:sz w:val="18"/>
                                <w:szCs w:val="20"/>
                                <w:u w:val="single"/>
                              </w:rPr>
                            </w:pPr>
                            <w:r w:rsidRPr="00E85BAD">
                              <w:rPr>
                                <w:sz w:val="18"/>
                                <w:szCs w:val="20"/>
                                <w:u w:val="single"/>
                              </w:rPr>
                              <w:t>Compare Contract Details tab to Contract and Interconnection Agreement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0486" id="Text Box 30" o:spid="_x0000_s1032" type="#_x0000_t202" style="position:absolute;left:0;text-align:left;margin-left:48.3pt;margin-top:52.75pt;width:274.15pt;height:3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" fillcolor="white [3201]" stroked="f" strokeweight=".5pt">
                <v:textbox>
                  <w:txbxContent>
                    <w:p w14:paraId="7F597F2F" w14:textId="43105754" w:rsidR="00A60BAB" w:rsidRPr="00E85BAD" w:rsidRDefault="00A60BAB">
                      <w:pPr>
                        <w:rPr>
                          <w:sz w:val="18"/>
                          <w:szCs w:val="20"/>
                          <w:u w:val="single"/>
                        </w:rPr>
                      </w:pPr>
                      <w:r w:rsidRPr="00E85BAD">
                        <w:rPr>
                          <w:sz w:val="18"/>
                          <w:szCs w:val="20"/>
                          <w:u w:val="single"/>
                        </w:rPr>
                        <w:t>Compare Contract Details tab to Contract and Interconnection Agreement to confirm:</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705344" behindDoc="0" locked="0" layoutInCell="1" allowOverlap="1" wp14:anchorId="1B63A16C" wp14:editId="55C07058">
                <wp:simplePos x="0" y="0"/>
                <wp:positionH relativeFrom="column">
                  <wp:posOffset>3083263</wp:posOffset>
                </wp:positionH>
                <wp:positionV relativeFrom="paragraph">
                  <wp:posOffset>6672080</wp:posOffset>
                </wp:positionV>
                <wp:extent cx="992221" cy="369651"/>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992221" cy="369651"/>
                        </a:xfrm>
                        <a:prstGeom prst="rect">
                          <a:avLst/>
                        </a:prstGeom>
                        <a:solidFill>
                          <a:schemeClr val="accent1">
                            <a:lumMod val="40000"/>
                            <a:lumOff val="60000"/>
                          </a:schemeClr>
                        </a:solidFill>
                        <a:ln w="6350">
                          <a:noFill/>
                        </a:ln>
                      </wps:spPr>
                      <wps:txbx>
                        <w:txbxContent>
                          <w:p w14:paraId="591328CE"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3A16C" id="Text Box 29" o:spid="_x0000_s1033" type="#_x0000_t202" style="position:absolute;left:0;text-align:left;margin-left:242.8pt;margin-top:525.35pt;width:78.15pt;height:2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" fillcolor="#b8cce4 [1300]" stroked="f" strokeweight=".5pt">
                <v:textbox>
                  <w:txbxContent>
                    <w:p w14:paraId="591328CE"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703296" behindDoc="0" locked="0" layoutInCell="1" allowOverlap="1" wp14:anchorId="50641629" wp14:editId="162E826A">
                <wp:simplePos x="0" y="0"/>
                <wp:positionH relativeFrom="column">
                  <wp:posOffset>3080317</wp:posOffset>
                </wp:positionH>
                <wp:positionV relativeFrom="paragraph">
                  <wp:posOffset>2787340</wp:posOffset>
                </wp:positionV>
                <wp:extent cx="992221" cy="36965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92221" cy="369651"/>
                        </a:xfrm>
                        <a:prstGeom prst="rect">
                          <a:avLst/>
                        </a:prstGeom>
                        <a:solidFill>
                          <a:schemeClr val="accent1">
                            <a:lumMod val="40000"/>
                            <a:lumOff val="60000"/>
                          </a:schemeClr>
                        </a:solidFill>
                        <a:ln w="6350">
                          <a:noFill/>
                        </a:ln>
                      </wps:spPr>
                      <wps:txbx>
                        <w:txbxContent>
                          <w:p w14:paraId="414F5675"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1629" id="Text Box 28" o:spid="_x0000_s1034" type="#_x0000_t202" style="position:absolute;left:0;text-align:left;margin-left:242.55pt;margin-top:219.5pt;width:78.15pt;height:2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" fillcolor="#b8cce4 [1300]" stroked="f" strokeweight=".5pt">
                <v:textbox>
                  <w:txbxContent>
                    <w:p w14:paraId="414F5675"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701248" behindDoc="0" locked="0" layoutInCell="1" allowOverlap="1" wp14:anchorId="69742B16" wp14:editId="0EDE6ACB">
                <wp:simplePos x="0" y="0"/>
                <wp:positionH relativeFrom="column">
                  <wp:posOffset>3083506</wp:posOffset>
                </wp:positionH>
                <wp:positionV relativeFrom="paragraph">
                  <wp:posOffset>241935</wp:posOffset>
                </wp:positionV>
                <wp:extent cx="992221" cy="36965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92221" cy="369651"/>
                        </a:xfrm>
                        <a:prstGeom prst="rect">
                          <a:avLst/>
                        </a:prstGeom>
                        <a:solidFill>
                          <a:schemeClr val="accent1">
                            <a:lumMod val="40000"/>
                            <a:lumOff val="60000"/>
                          </a:schemeClr>
                        </a:solidFill>
                        <a:ln w="6350">
                          <a:noFill/>
                        </a:ln>
                      </wps:spPr>
                      <wps:txbx>
                        <w:txbxContent>
                          <w:p w14:paraId="2B3F5CB4"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2B16" id="Text Box 27" o:spid="_x0000_s1035" type="#_x0000_t202" style="position:absolute;left:0;text-align:left;margin-left:242.8pt;margin-top:19.05pt;width:78.15pt;height:2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" fillcolor="#b8cce4 [1300]" stroked="f" strokeweight=".5pt">
                <v:textbox>
                  <w:txbxContent>
                    <w:p w14:paraId="2B3F5CB4"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23DEA88A" wp14:editId="3D55B3CB">
            <wp:extent cx="4762323" cy="714318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6058" cy="7163787"/>
                    </a:xfrm>
                    <a:prstGeom prst="rect">
                      <a:avLst/>
                    </a:prstGeom>
                    <a:noFill/>
                    <a:ln>
                      <a:noFill/>
                    </a:ln>
                  </pic:spPr>
                </pic:pic>
              </a:graphicData>
            </a:graphic>
          </wp:inline>
        </w:drawing>
      </w:r>
    </w:p>
    <w:p w14:paraId="3CF17B36" w14:textId="77777777" w:rsidR="00C25DC3" w:rsidRPr="00F622FF" w:rsidRDefault="00C25DC3" w:rsidP="00DA353D">
      <w:pPr>
        <w:pStyle w:val="Heading2"/>
      </w:pPr>
      <w:bookmarkStart w:id="32" w:name="_Toc40196443"/>
      <w:r w:rsidRPr="00F622FF">
        <w:lastRenderedPageBreak/>
        <w:t>Additional Documentation Required to Substantiate PCC 1 Claims from Facilities that Have Pseudo Tie Agreements to Deliver Generation into a CBA</w:t>
      </w:r>
      <w:bookmarkEnd w:id="32"/>
    </w:p>
    <w:p w14:paraId="17108C87" w14:textId="77777777" w:rsidR="00C25DC3" w:rsidRPr="0080220E" w:rsidRDefault="00C25DC3" w:rsidP="00C25DC3">
      <w:pPr>
        <w:pStyle w:val="Default"/>
        <w:spacing w:after="120"/>
        <w:rPr>
          <w:rFonts w:ascii="Garamond" w:eastAsia="Times New Roman" w:hAnsi="Garamond"/>
          <w:bCs/>
        </w:rPr>
      </w:pPr>
      <w:r w:rsidRPr="0080220E">
        <w:rPr>
          <w:rFonts w:ascii="Garamond" w:eastAsia="Times New Roman" w:hAnsi="Garamond"/>
          <w:bCs/>
          <w:color w:val="auto"/>
        </w:rPr>
        <w:t xml:space="preserve">In order for RPS-eligible resources </w:t>
      </w:r>
      <w:r w:rsidRPr="0080220E">
        <w:rPr>
          <w:rFonts w:ascii="Garamond" w:hAnsi="Garamond"/>
          <w:bCs/>
        </w:rPr>
        <w:t xml:space="preserve">from facilities with first point of interconnection outside a CBA, but delivered into CBA in real </w:t>
      </w:r>
      <w:r w:rsidRPr="0080220E">
        <w:rPr>
          <w:rFonts w:ascii="Garamond" w:eastAsia="Times New Roman" w:hAnsi="Garamond"/>
          <w:bCs/>
        </w:rPr>
        <w:t>time through the use of a pseudo tie, a retail seller making a PCC 1 claim must demonstrate that</w:t>
      </w:r>
      <w:r w:rsidRPr="0080220E">
        <w:rPr>
          <w:rFonts w:ascii="Garamond" w:hAnsi="Garamond"/>
          <w:bCs/>
        </w:rPr>
        <w:t xml:space="preserve"> the facility has engaged in the appropriate pseudo tie agreement to deliver the facility’s generation to a CBA.</w:t>
      </w:r>
      <w:r w:rsidRPr="0080220E">
        <w:rPr>
          <w:rFonts w:ascii="Garamond" w:eastAsia="Times New Roman" w:hAnsi="Garamond"/>
          <w:bCs/>
          <w:color w:val="auto"/>
        </w:rPr>
        <w:t xml:space="preserve"> </w:t>
      </w:r>
    </w:p>
    <w:p w14:paraId="70EBDC93" w14:textId="19B6F0B6" w:rsidR="00C25DC3" w:rsidRPr="0080220E" w:rsidRDefault="00C25DC3" w:rsidP="00C25DC3">
      <w:pPr>
        <w:pStyle w:val="Default"/>
        <w:spacing w:after="120"/>
        <w:rPr>
          <w:rFonts w:ascii="Garamond" w:eastAsia="Times New Roman" w:hAnsi="Garamond"/>
          <w:bCs/>
          <w:color w:val="auto"/>
        </w:rPr>
      </w:pPr>
      <w:r w:rsidRPr="0080220E">
        <w:rPr>
          <w:rFonts w:ascii="Garamond" w:eastAsia="Times New Roman" w:hAnsi="Garamond"/>
          <w:bCs/>
          <w:color w:val="auto"/>
        </w:rPr>
        <w:t>Retail sellers must provide the following documents in order to substantiate PCC 1 claims from a facility delivering RPS electricity through a pseudo tie:</w:t>
      </w:r>
    </w:p>
    <w:p w14:paraId="2379E2D3" w14:textId="2B38F610" w:rsidR="00C25DC3" w:rsidRPr="0080220E" w:rsidRDefault="00C25DC3" w:rsidP="00C25DC3">
      <w:pPr>
        <w:pStyle w:val="Default"/>
        <w:numPr>
          <w:ilvl w:val="1"/>
          <w:numId w:val="4"/>
        </w:numPr>
        <w:spacing w:after="120"/>
        <w:ind w:left="720"/>
        <w:rPr>
          <w:rFonts w:ascii="Garamond" w:hAnsi="Garamond"/>
          <w:bCs/>
        </w:rPr>
      </w:pPr>
      <w:r w:rsidRPr="0080220E">
        <w:rPr>
          <w:rFonts w:ascii="Garamond" w:hAnsi="Garamond"/>
          <w:bCs/>
        </w:rPr>
        <w:t xml:space="preserve">Power Purchase Agreements (PPAs) </w:t>
      </w:r>
      <w:r w:rsidR="001E516A" w:rsidRPr="0080220E">
        <w:rPr>
          <w:rFonts w:ascii="Garamond" w:hAnsi="Garamond"/>
          <w:bCs/>
        </w:rPr>
        <w:t xml:space="preserve">to </w:t>
      </w:r>
      <w:r w:rsidRPr="0080220E">
        <w:rPr>
          <w:rFonts w:ascii="Garamond" w:eastAsia="Times New Roman" w:hAnsi="Garamond"/>
          <w:bCs/>
          <w:color w:val="auto"/>
        </w:rPr>
        <w:t>specify the purchase of bundled RPS eligible electricity and RECs</w:t>
      </w:r>
    </w:p>
    <w:p w14:paraId="15FF7007" w14:textId="36CDC6C9" w:rsidR="00C25DC3" w:rsidRPr="00A75840" w:rsidRDefault="00C25DC3" w:rsidP="00C25DC3">
      <w:pPr>
        <w:pStyle w:val="Default"/>
        <w:numPr>
          <w:ilvl w:val="1"/>
          <w:numId w:val="4"/>
        </w:numPr>
        <w:spacing w:after="120"/>
        <w:ind w:left="720"/>
        <w:rPr>
          <w:rFonts w:ascii="Garamond" w:hAnsi="Garamond"/>
          <w:bCs/>
        </w:rPr>
      </w:pPr>
      <w:r w:rsidRPr="0080220E">
        <w:rPr>
          <w:rFonts w:ascii="Garamond" w:eastAsia="Times New Roman" w:hAnsi="Garamond"/>
          <w:bCs/>
          <w:color w:val="auto"/>
        </w:rPr>
        <w:t>A pseudo tie agreement</w:t>
      </w:r>
      <w:r w:rsidR="00CB0517">
        <w:rPr>
          <w:rFonts w:ascii="Garamond" w:eastAsia="Times New Roman" w:hAnsi="Garamond"/>
          <w:bCs/>
          <w:color w:val="auto"/>
        </w:rPr>
        <w:t xml:space="preserve"> (</w:t>
      </w:r>
      <w:r w:rsidR="001F2B2E" w:rsidRPr="001F2B2E">
        <w:rPr>
          <w:rFonts w:ascii="Garamond" w:eastAsia="Times New Roman" w:hAnsi="Garamond"/>
          <w:bCs/>
          <w:color w:val="auto"/>
        </w:rPr>
        <w:t>Interconnected Control Area Operating Agreement</w:t>
      </w:r>
      <w:r w:rsidR="001F2B2E">
        <w:rPr>
          <w:rFonts w:ascii="Garamond" w:eastAsia="Times New Roman" w:hAnsi="Garamond"/>
          <w:bCs/>
          <w:color w:val="auto"/>
        </w:rPr>
        <w:t>)</w:t>
      </w:r>
      <w:r w:rsidR="001F2B2E" w:rsidRPr="001F2B2E">
        <w:rPr>
          <w:rFonts w:ascii="Garamond" w:eastAsia="Times New Roman" w:hAnsi="Garamond"/>
          <w:bCs/>
          <w:color w:val="auto"/>
        </w:rPr>
        <w:t xml:space="preserve"> </w:t>
      </w:r>
      <w:r w:rsidRPr="0080220E">
        <w:rPr>
          <w:rFonts w:ascii="Garamond" w:eastAsia="Times New Roman" w:hAnsi="Garamond"/>
          <w:bCs/>
          <w:color w:val="auto"/>
        </w:rPr>
        <w:t xml:space="preserve">between the balancing authority which the contracted RPS eligible facility is located, and </w:t>
      </w:r>
      <w:r w:rsidR="001E516A" w:rsidRPr="0080220E">
        <w:rPr>
          <w:rFonts w:ascii="Garamond" w:eastAsia="Times New Roman" w:hAnsi="Garamond"/>
          <w:bCs/>
          <w:color w:val="auto"/>
        </w:rPr>
        <w:t>the</w:t>
      </w:r>
      <w:r w:rsidRPr="0080220E">
        <w:rPr>
          <w:rFonts w:ascii="Garamond" w:eastAsia="Times New Roman" w:hAnsi="Garamond"/>
          <w:bCs/>
          <w:color w:val="auto"/>
        </w:rPr>
        <w:t xml:space="preserve"> CBA</w:t>
      </w:r>
      <w:r w:rsidR="001E516A" w:rsidRPr="0080220E">
        <w:rPr>
          <w:rFonts w:ascii="Garamond" w:eastAsia="Times New Roman" w:hAnsi="Garamond"/>
          <w:bCs/>
          <w:color w:val="auto"/>
        </w:rPr>
        <w:t xml:space="preserve"> where energy is to be delivered </w:t>
      </w:r>
    </w:p>
    <w:p w14:paraId="5ABCC935" w14:textId="5151CE44" w:rsidR="001F2B2E" w:rsidRPr="0080220E" w:rsidRDefault="001F2B2E" w:rsidP="00C25DC3">
      <w:pPr>
        <w:pStyle w:val="Default"/>
        <w:numPr>
          <w:ilvl w:val="1"/>
          <w:numId w:val="4"/>
        </w:numPr>
        <w:spacing w:after="120"/>
        <w:ind w:left="720"/>
        <w:rPr>
          <w:rFonts w:ascii="Garamond" w:hAnsi="Garamond"/>
          <w:bCs/>
        </w:rPr>
      </w:pPr>
      <w:r>
        <w:rPr>
          <w:rFonts w:ascii="Garamond" w:eastAsia="Times New Roman" w:hAnsi="Garamond"/>
          <w:bCs/>
          <w:color w:val="auto"/>
        </w:rPr>
        <w:t xml:space="preserve">A pseudo tie agreement </w:t>
      </w:r>
      <w:r w:rsidR="00FA0839">
        <w:rPr>
          <w:rFonts w:ascii="Garamond" w:eastAsia="Times New Roman" w:hAnsi="Garamond"/>
          <w:bCs/>
          <w:color w:val="auto"/>
        </w:rPr>
        <w:t xml:space="preserve">(Pseudo Participating Generator Agreement) </w:t>
      </w:r>
      <w:r>
        <w:rPr>
          <w:rFonts w:ascii="Garamond" w:eastAsia="Times New Roman" w:hAnsi="Garamond"/>
          <w:bCs/>
          <w:color w:val="auto"/>
        </w:rPr>
        <w:t>between the RPS eligible facility and CAISO</w:t>
      </w:r>
    </w:p>
    <w:p w14:paraId="037978F0" w14:textId="77777777" w:rsidR="00C25DC3" w:rsidRPr="0080220E" w:rsidRDefault="00C25DC3" w:rsidP="00C25DC3">
      <w:pPr>
        <w:pStyle w:val="Default"/>
        <w:numPr>
          <w:ilvl w:val="1"/>
          <w:numId w:val="4"/>
        </w:numPr>
        <w:spacing w:after="120"/>
        <w:ind w:left="720"/>
        <w:rPr>
          <w:rFonts w:ascii="Garamond" w:eastAsia="Times New Roman" w:hAnsi="Garamond"/>
          <w:bCs/>
          <w:color w:val="auto"/>
        </w:rPr>
      </w:pPr>
      <w:r w:rsidRPr="0080220E">
        <w:rPr>
          <w:rFonts w:ascii="Garamond" w:eastAsia="Times New Roman" w:hAnsi="Garamond"/>
          <w:bCs/>
          <w:color w:val="auto"/>
        </w:rPr>
        <w:t>WREGIS Compliance Report</w:t>
      </w:r>
    </w:p>
    <w:p w14:paraId="66215219" w14:textId="5668D371" w:rsidR="00C25DC3" w:rsidRPr="0080220E" w:rsidRDefault="00C25DC3" w:rsidP="00C25DC3">
      <w:pPr>
        <w:pStyle w:val="Default"/>
        <w:spacing w:after="120"/>
        <w:rPr>
          <w:rFonts w:ascii="Garamond" w:hAnsi="Garamond"/>
          <w:bCs/>
        </w:rPr>
      </w:pPr>
      <w:r w:rsidRPr="0080220E">
        <w:rPr>
          <w:rFonts w:ascii="Garamond" w:hAnsi="Garamond"/>
          <w:bCs/>
        </w:rPr>
        <w:t xml:space="preserve">As the use of pseudo tie </w:t>
      </w:r>
      <w:r w:rsidR="00A51925">
        <w:rPr>
          <w:rFonts w:ascii="Garamond" w:hAnsi="Garamond"/>
          <w:bCs/>
        </w:rPr>
        <w:t xml:space="preserve">agreements </w:t>
      </w:r>
      <w:r w:rsidRPr="0080220E">
        <w:rPr>
          <w:rFonts w:ascii="Garamond" w:hAnsi="Garamond"/>
          <w:bCs/>
        </w:rPr>
        <w:t xml:space="preserve">evolve, additional forms of documentation may be included.   </w:t>
      </w:r>
    </w:p>
    <w:p w14:paraId="27576ACA" w14:textId="77777777" w:rsidR="00C25DC3" w:rsidRPr="0080220E" w:rsidRDefault="00C25DC3" w:rsidP="00C25DC3">
      <w:pPr>
        <w:pStyle w:val="Default"/>
        <w:spacing w:after="120"/>
        <w:rPr>
          <w:rFonts w:ascii="Garamond" w:hAnsi="Garamond"/>
          <w:bCs/>
        </w:rPr>
      </w:pPr>
      <w:r w:rsidRPr="0080220E">
        <w:rPr>
          <w:rFonts w:ascii="Garamond" w:hAnsi="Garamond"/>
          <w:bCs/>
        </w:rPr>
        <w:t>See table III.C on the next page for additional information on CPUC review process.</w:t>
      </w:r>
    </w:p>
    <w:p w14:paraId="5FA89BD3" w14:textId="77777777" w:rsidR="00C25DC3" w:rsidRPr="0080220E" w:rsidRDefault="00C25DC3" w:rsidP="00C25DC3">
      <w:pPr>
        <w:spacing w:after="120"/>
        <w:rPr>
          <w:rFonts w:ascii="Garamond" w:hAnsi="Garamond"/>
          <w:bCs/>
          <w:sz w:val="24"/>
        </w:rPr>
      </w:pPr>
    </w:p>
    <w:p w14:paraId="626EE2B0" w14:textId="2731A1A6" w:rsidR="00C25DC3" w:rsidRPr="00DA353D" w:rsidRDefault="00C25DC3" w:rsidP="00C25DC3">
      <w:pPr>
        <w:spacing w:after="120"/>
        <w:rPr>
          <w:rFonts w:ascii="Garamond" w:hAnsi="Garamond" w:cs="Arial"/>
          <w:bCs/>
          <w:sz w:val="24"/>
        </w:rPr>
      </w:pPr>
      <w:r w:rsidRPr="0080220E">
        <w:rPr>
          <w:rFonts w:ascii="Garamond" w:hAnsi="Garamond"/>
          <w:bCs/>
          <w:sz w:val="24"/>
        </w:rPr>
        <w:br w:type="page"/>
      </w:r>
      <w:r w:rsidRPr="00DA353D">
        <w:rPr>
          <w:rFonts w:ascii="Garamond" w:hAnsi="Garamond" w:cs="Arial"/>
          <w:bCs/>
          <w:sz w:val="24"/>
        </w:rPr>
        <w:lastRenderedPageBreak/>
        <w:t>Table III.C.1. CPUC Process for Reviewing Required Documents for PCC 1 Claims from Facilities that Have Pseudo Tie Agreements to Deliver Generation into a CBA</w:t>
      </w:r>
    </w:p>
    <w:p w14:paraId="52FB6F80" w14:textId="1A84C5BF" w:rsidR="00C25DC3" w:rsidRPr="00DA353D" w:rsidRDefault="00C25DC3" w:rsidP="00C25DC3">
      <w:pPr>
        <w:spacing w:after="120"/>
        <w:rPr>
          <w:rFonts w:ascii="Garamond" w:hAnsi="Garamond" w:cs="Arial"/>
          <w:bCs/>
          <w:sz w:val="24"/>
        </w:rPr>
      </w:pPr>
    </w:p>
    <w:p w14:paraId="12F15B1E" w14:textId="72A2DE51" w:rsidR="00C25DC3" w:rsidRPr="00DA353D" w:rsidRDefault="00C06A8A" w:rsidP="00C25DC3">
      <w:pPr>
        <w:spacing w:after="120"/>
        <w:jc w:val="center"/>
        <w:rPr>
          <w:rFonts w:ascii="Garamond" w:hAnsi="Garamond" w:cs="Arial"/>
          <w:bCs/>
          <w:sz w:val="24"/>
        </w:rPr>
      </w:pPr>
      <w:r>
        <w:rPr>
          <w:rFonts w:ascii="Garamond" w:hAnsi="Garamond"/>
          <w:bCs/>
          <w:noProof/>
          <w:sz w:val="24"/>
        </w:rPr>
        <mc:AlternateContent>
          <mc:Choice Requires="wps">
            <w:drawing>
              <wp:anchor distT="0" distB="0" distL="114300" distR="114300" simplePos="0" relativeHeight="251718656" behindDoc="0" locked="0" layoutInCell="1" allowOverlap="1" wp14:anchorId="56E86351" wp14:editId="2FFD0273">
                <wp:simplePos x="0" y="0"/>
                <wp:positionH relativeFrom="column">
                  <wp:posOffset>3005252</wp:posOffset>
                </wp:positionH>
                <wp:positionV relativeFrom="paragraph">
                  <wp:posOffset>3749040</wp:posOffset>
                </wp:positionV>
                <wp:extent cx="1972324" cy="330309"/>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972324" cy="330309"/>
                        </a:xfrm>
                        <a:prstGeom prst="rect">
                          <a:avLst/>
                        </a:prstGeom>
                        <a:solidFill>
                          <a:schemeClr val="lt1"/>
                        </a:solidFill>
                        <a:ln w="6350">
                          <a:noFill/>
                        </a:ln>
                      </wps:spPr>
                      <wps:txbx>
                        <w:txbxContent>
                          <w:p w14:paraId="28ED8C02" w14:textId="77777777" w:rsidR="00A60BAB" w:rsidRPr="00C06A8A" w:rsidRDefault="00A60BAB" w:rsidP="00C06A8A">
                            <w:pPr>
                              <w:rPr>
                                <w:sz w:val="15"/>
                                <w:szCs w:val="16"/>
                                <w:u w:val="single"/>
                              </w:rPr>
                            </w:pPr>
                            <w:r w:rsidRPr="00C06A8A">
                              <w:rPr>
                                <w:sz w:val="15"/>
                                <w:szCs w:val="16"/>
                                <w:u w:val="single"/>
                              </w:rPr>
                              <w:t>Compare Contract Details tab to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6351" id="Text Box 38" o:spid="_x0000_s1036" type="#_x0000_t202" style="position:absolute;left:0;text-align:left;margin-left:236.65pt;margin-top:295.2pt;width:155.3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" fillcolor="white [3201]" stroked="f" strokeweight=".5pt">
                <v:textbox>
                  <w:txbxContent>
                    <w:p w14:paraId="28ED8C02" w14:textId="77777777" w:rsidR="00A60BAB" w:rsidRPr="00C06A8A" w:rsidRDefault="00A60BAB" w:rsidP="00C06A8A">
                      <w:pPr>
                        <w:rPr>
                          <w:sz w:val="15"/>
                          <w:szCs w:val="16"/>
                          <w:u w:val="single"/>
                        </w:rPr>
                      </w:pPr>
                      <w:r w:rsidRPr="00C06A8A">
                        <w:rPr>
                          <w:sz w:val="15"/>
                          <w:szCs w:val="16"/>
                          <w:u w:val="single"/>
                        </w:rPr>
                        <w:t>Compare Contract Details tab to WREGIS Compliance Reports to confirm:</w:t>
                      </w:r>
                    </w:p>
                  </w:txbxContent>
                </v:textbox>
              </v:shape>
            </w:pict>
          </mc:Fallback>
        </mc:AlternateContent>
      </w:r>
      <w:r>
        <w:rPr>
          <w:rFonts w:ascii="Garamond" w:hAnsi="Garamond"/>
          <w:bCs/>
          <w:noProof/>
          <w:sz w:val="24"/>
        </w:rPr>
        <mc:AlternateContent>
          <mc:Choice Requires="wps">
            <w:drawing>
              <wp:anchor distT="0" distB="0" distL="114300" distR="114300" simplePos="0" relativeHeight="251716608" behindDoc="0" locked="0" layoutInCell="1" allowOverlap="1" wp14:anchorId="316FCDD5" wp14:editId="4B4EDCF7">
                <wp:simplePos x="0" y="0"/>
                <wp:positionH relativeFrom="column">
                  <wp:posOffset>3696511</wp:posOffset>
                </wp:positionH>
                <wp:positionV relativeFrom="paragraph">
                  <wp:posOffset>1016135</wp:posOffset>
                </wp:positionV>
                <wp:extent cx="232667" cy="126460"/>
                <wp:effectExtent l="0" t="0" r="0" b="635"/>
                <wp:wrapNone/>
                <wp:docPr id="35" name="Text Box 35"/>
                <wp:cNvGraphicFramePr/>
                <a:graphic xmlns:a="http://schemas.openxmlformats.org/drawingml/2006/main">
                  <a:graphicData uri="http://schemas.microsoft.com/office/word/2010/wordprocessingShape">
                    <wps:wsp>
                      <wps:cNvSpPr txBox="1"/>
                      <wps:spPr>
                        <a:xfrm flipV="1">
                          <a:off x="0" y="0"/>
                          <a:ext cx="232667" cy="126460"/>
                        </a:xfrm>
                        <a:prstGeom prst="rect">
                          <a:avLst/>
                        </a:prstGeom>
                        <a:solidFill>
                          <a:schemeClr val="lt1"/>
                        </a:solidFill>
                        <a:ln w="6350">
                          <a:noFill/>
                        </a:ln>
                      </wps:spPr>
                      <wps:txbx>
                        <w:txbxContent>
                          <w:p w14:paraId="7979685B" w14:textId="77777777" w:rsidR="00A60BAB" w:rsidRPr="00A1590C" w:rsidRDefault="00A60BAB" w:rsidP="00C06A8A">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CDD5" id="Text Box 35" o:spid="_x0000_s1037" type="#_x0000_t202" style="position:absolute;left:0;text-align:left;margin-left:291.05pt;margin-top:80pt;width:18.3pt;height:9.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" fillcolor="white [3201]" stroked="f" strokeweight=".5pt">
                <v:textbox>
                  <w:txbxContent>
                    <w:p w14:paraId="7979685B" w14:textId="77777777" w:rsidR="00A60BAB" w:rsidRPr="00A1590C" w:rsidRDefault="00A60BAB" w:rsidP="00C06A8A">
                      <w:pPr>
                        <w:rPr>
                          <w:sz w:val="16"/>
                          <w:szCs w:val="18"/>
                        </w:rPr>
                      </w:pPr>
                    </w:p>
                  </w:txbxContent>
                </v:textbox>
              </v:shape>
            </w:pict>
          </mc:Fallback>
        </mc:AlternateContent>
      </w:r>
      <w:r w:rsidR="00AA6A4C">
        <w:rPr>
          <w:rFonts w:ascii="Garamond" w:hAnsi="Garamond"/>
          <w:bCs/>
          <w:noProof/>
          <w:sz w:val="24"/>
        </w:rPr>
        <mc:AlternateContent>
          <mc:Choice Requires="wps">
            <w:drawing>
              <wp:anchor distT="0" distB="0" distL="114300" distR="114300" simplePos="0" relativeHeight="251714560" behindDoc="0" locked="0" layoutInCell="1" allowOverlap="1" wp14:anchorId="3A03202C" wp14:editId="314AD930">
                <wp:simplePos x="0" y="0"/>
                <wp:positionH relativeFrom="column">
                  <wp:posOffset>953311</wp:posOffset>
                </wp:positionH>
                <wp:positionV relativeFrom="paragraph">
                  <wp:posOffset>656212</wp:posOffset>
                </wp:positionV>
                <wp:extent cx="2957127" cy="359491"/>
                <wp:effectExtent l="0" t="0" r="2540" b="0"/>
                <wp:wrapNone/>
                <wp:docPr id="34" name="Text Box 34"/>
                <wp:cNvGraphicFramePr/>
                <a:graphic xmlns:a="http://schemas.openxmlformats.org/drawingml/2006/main">
                  <a:graphicData uri="http://schemas.microsoft.com/office/word/2010/wordprocessingShape">
                    <wps:wsp>
                      <wps:cNvSpPr txBox="1"/>
                      <wps:spPr>
                        <a:xfrm>
                          <a:off x="0" y="0"/>
                          <a:ext cx="2957127" cy="359491"/>
                        </a:xfrm>
                        <a:prstGeom prst="rect">
                          <a:avLst/>
                        </a:prstGeom>
                        <a:solidFill>
                          <a:schemeClr val="lt1"/>
                        </a:solidFill>
                        <a:ln w="6350">
                          <a:noFill/>
                        </a:ln>
                      </wps:spPr>
                      <wps:txbx>
                        <w:txbxContent>
                          <w:p w14:paraId="7059F836" w14:textId="1BF6BA76" w:rsidR="00A60BAB" w:rsidRPr="00AA6A4C" w:rsidRDefault="00A60BAB" w:rsidP="00AA6A4C">
                            <w:pPr>
                              <w:rPr>
                                <w:sz w:val="16"/>
                                <w:szCs w:val="18"/>
                                <w:u w:val="single"/>
                              </w:rPr>
                            </w:pPr>
                            <w:r w:rsidRPr="00AA6A4C">
                              <w:rPr>
                                <w:sz w:val="16"/>
                                <w:szCs w:val="18"/>
                                <w:u w:val="single"/>
                              </w:rPr>
                              <w:t>Compare Contract Details tab to Contract and Pseudo Tie Agreement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202C" id="Text Box 34" o:spid="_x0000_s1038" type="#_x0000_t202" style="position:absolute;left:0;text-align:left;margin-left:75.05pt;margin-top:51.65pt;width:232.85pt;height:2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" fillcolor="white [3201]" stroked="f" strokeweight=".5pt">
                <v:textbox>
                  <w:txbxContent>
                    <w:p w14:paraId="7059F836" w14:textId="1BF6BA76" w:rsidR="00A60BAB" w:rsidRPr="00AA6A4C" w:rsidRDefault="00A60BAB" w:rsidP="00AA6A4C">
                      <w:pPr>
                        <w:rPr>
                          <w:sz w:val="16"/>
                          <w:szCs w:val="18"/>
                          <w:u w:val="single"/>
                        </w:rPr>
                      </w:pPr>
                      <w:r w:rsidRPr="00AA6A4C">
                        <w:rPr>
                          <w:sz w:val="16"/>
                          <w:szCs w:val="18"/>
                          <w:u w:val="single"/>
                        </w:rPr>
                        <w:t>Compare Contract Details tab to Contract and Pseudo Tie Agreement to confirm:</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699200" behindDoc="0" locked="0" layoutInCell="1" allowOverlap="1" wp14:anchorId="39EF25EC" wp14:editId="31BB86F0">
                <wp:simplePos x="0" y="0"/>
                <wp:positionH relativeFrom="column">
                  <wp:posOffset>3083669</wp:posOffset>
                </wp:positionH>
                <wp:positionV relativeFrom="paragraph">
                  <wp:posOffset>6230161</wp:posOffset>
                </wp:positionV>
                <wp:extent cx="826770" cy="36965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26770" cy="369651"/>
                        </a:xfrm>
                        <a:prstGeom prst="rect">
                          <a:avLst/>
                        </a:prstGeom>
                        <a:solidFill>
                          <a:schemeClr val="accent1">
                            <a:lumMod val="40000"/>
                            <a:lumOff val="60000"/>
                          </a:schemeClr>
                        </a:solidFill>
                        <a:ln w="6350">
                          <a:noFill/>
                        </a:ln>
                      </wps:spPr>
                      <wps:txbx>
                        <w:txbxContent>
                          <w:p w14:paraId="218E7258"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25EC" id="Text Box 26" o:spid="_x0000_s1039" type="#_x0000_t202" style="position:absolute;left:0;text-align:left;margin-left:242.8pt;margin-top:490.55pt;width:65.1pt;height:2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" fillcolor="#b8cce4 [1300]" stroked="f" strokeweight=".5pt">
                <v:textbox>
                  <w:txbxContent>
                    <w:p w14:paraId="218E7258"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697152" behindDoc="0" locked="0" layoutInCell="1" allowOverlap="1" wp14:anchorId="3499E790" wp14:editId="1AE2F4DC">
                <wp:simplePos x="0" y="0"/>
                <wp:positionH relativeFrom="column">
                  <wp:posOffset>3083668</wp:posOffset>
                </wp:positionH>
                <wp:positionV relativeFrom="paragraph">
                  <wp:posOffset>2553105</wp:posOffset>
                </wp:positionV>
                <wp:extent cx="826851" cy="36965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26851" cy="369651"/>
                        </a:xfrm>
                        <a:prstGeom prst="rect">
                          <a:avLst/>
                        </a:prstGeom>
                        <a:solidFill>
                          <a:schemeClr val="accent1">
                            <a:lumMod val="40000"/>
                            <a:lumOff val="60000"/>
                          </a:schemeClr>
                        </a:solidFill>
                        <a:ln w="6350">
                          <a:noFill/>
                        </a:ln>
                      </wps:spPr>
                      <wps:txbx>
                        <w:txbxContent>
                          <w:p w14:paraId="2945685E"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E790" id="Text Box 25" o:spid="_x0000_s1040" type="#_x0000_t202" style="position:absolute;left:0;text-align:left;margin-left:242.8pt;margin-top:201.05pt;width:65.1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" fillcolor="#b8cce4 [1300]" stroked="f" strokeweight=".5pt">
                <v:textbox>
                  <w:txbxContent>
                    <w:p w14:paraId="2945685E"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7A3FD4">
        <w:rPr>
          <w:rFonts w:ascii="Garamond" w:hAnsi="Garamond"/>
          <w:bCs/>
          <w:noProof/>
          <w:sz w:val="24"/>
        </w:rPr>
        <mc:AlternateContent>
          <mc:Choice Requires="wps">
            <w:drawing>
              <wp:anchor distT="0" distB="0" distL="114300" distR="114300" simplePos="0" relativeHeight="251695104" behindDoc="0" locked="0" layoutInCell="1" allowOverlap="1" wp14:anchorId="57C5BCF2" wp14:editId="46091A14">
                <wp:simplePos x="0" y="0"/>
                <wp:positionH relativeFrom="column">
                  <wp:posOffset>3024924</wp:posOffset>
                </wp:positionH>
                <wp:positionV relativeFrom="paragraph">
                  <wp:posOffset>237544</wp:posOffset>
                </wp:positionV>
                <wp:extent cx="953311" cy="36965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53311" cy="369651"/>
                        </a:xfrm>
                        <a:prstGeom prst="rect">
                          <a:avLst/>
                        </a:prstGeom>
                        <a:solidFill>
                          <a:schemeClr val="accent1">
                            <a:lumMod val="40000"/>
                            <a:lumOff val="60000"/>
                          </a:schemeClr>
                        </a:solidFill>
                        <a:ln w="6350">
                          <a:noFill/>
                        </a:ln>
                      </wps:spPr>
                      <wps:txbx>
                        <w:txbxContent>
                          <w:p w14:paraId="0E03D645" w14:textId="77777777" w:rsidR="00A60BAB" w:rsidRPr="00CA19EC" w:rsidRDefault="00A60BAB" w:rsidP="007A3FD4">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BCF2" id="Text Box 24" o:spid="_x0000_s1041" type="#_x0000_t202" style="position:absolute;left:0;text-align:left;margin-left:238.2pt;margin-top:18.7pt;width:75.05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" fillcolor="#b8cce4 [1300]" stroked="f" strokeweight=".5pt">
                <v:textbox>
                  <w:txbxContent>
                    <w:p w14:paraId="0E03D645" w14:textId="77777777" w:rsidR="00A60BAB" w:rsidRPr="00CA19EC" w:rsidRDefault="00A60BAB" w:rsidP="007A3FD4">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52A06802" wp14:editId="74E5146B">
            <wp:extent cx="4044468" cy="666335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0801" cy="6673783"/>
                    </a:xfrm>
                    <a:prstGeom prst="rect">
                      <a:avLst/>
                    </a:prstGeom>
                    <a:noFill/>
                    <a:ln>
                      <a:noFill/>
                    </a:ln>
                  </pic:spPr>
                </pic:pic>
              </a:graphicData>
            </a:graphic>
          </wp:inline>
        </w:drawing>
      </w:r>
    </w:p>
    <w:p w14:paraId="50414AAA" w14:textId="13405D72" w:rsidR="00C25DC3" w:rsidRPr="00F622FF" w:rsidRDefault="00C25DC3" w:rsidP="00DA353D">
      <w:pPr>
        <w:pStyle w:val="Heading2"/>
      </w:pPr>
      <w:bookmarkStart w:id="33" w:name="_Toc40196444"/>
      <w:r w:rsidRPr="00F622FF">
        <w:lastRenderedPageBreak/>
        <w:t xml:space="preserve">Requirements to Substantiate PCC 1 Claims for RPS-Eligible Electricity Dynamically Scheduled or Scheduled </w:t>
      </w:r>
      <w:r w:rsidR="00D22712" w:rsidRPr="00F622FF">
        <w:t>into</w:t>
      </w:r>
      <w:r w:rsidRPr="00F622FF">
        <w:t xml:space="preserve"> a CBA on an Hourly/Sub-hourly Basis</w:t>
      </w:r>
      <w:bookmarkEnd w:id="33"/>
    </w:p>
    <w:p w14:paraId="73DA4182" w14:textId="6644C768" w:rsidR="00C25DC3" w:rsidRPr="0080220E" w:rsidRDefault="001E516A" w:rsidP="00C25DC3">
      <w:pPr>
        <w:spacing w:after="120"/>
        <w:rPr>
          <w:rFonts w:ascii="Garamond" w:hAnsi="Garamond" w:cs="Arial"/>
          <w:bCs/>
          <w:sz w:val="24"/>
        </w:rPr>
      </w:pPr>
      <w:r w:rsidRPr="0080220E">
        <w:rPr>
          <w:rFonts w:ascii="Garamond" w:hAnsi="Garamond" w:cs="Arial"/>
          <w:bCs/>
          <w:sz w:val="24"/>
        </w:rPr>
        <w:t>The PCC</w:t>
      </w:r>
      <w:r w:rsidR="00C25DC3" w:rsidRPr="0080220E">
        <w:rPr>
          <w:rFonts w:ascii="Garamond" w:hAnsi="Garamond" w:cs="Arial"/>
          <w:bCs/>
          <w:sz w:val="24"/>
        </w:rPr>
        <w:t xml:space="preserve"> 1</w:t>
      </w:r>
      <w:r w:rsidRPr="0080220E">
        <w:rPr>
          <w:rFonts w:ascii="Garamond" w:hAnsi="Garamond" w:cs="Arial"/>
          <w:bCs/>
          <w:sz w:val="24"/>
        </w:rPr>
        <w:t xml:space="preserve"> classification</w:t>
      </w:r>
      <w:r w:rsidR="00C25DC3" w:rsidRPr="0080220E">
        <w:rPr>
          <w:rFonts w:ascii="Garamond" w:hAnsi="Garamond" w:cs="Arial"/>
          <w:bCs/>
          <w:sz w:val="24"/>
        </w:rPr>
        <w:t xml:space="preserve"> includes procurement of energy and RECs from an RPS-eligible facility, where the electricity is scheduled into a CBA without substituting electricity from another source. Because ancillary services are </w:t>
      </w:r>
      <w:r w:rsidR="00C25DC3" w:rsidRPr="0080220E">
        <w:rPr>
          <w:rFonts w:ascii="Garamond" w:hAnsi="Garamond" w:cs="Arial"/>
          <w:bCs/>
          <w:sz w:val="24"/>
        </w:rPr>
        <w:softHyphen/>
        <w:t xml:space="preserve">often used to maintain an hourly or sub-hourly import schedule into a CBA, the final scheduled amount of electricity as indicated on an e-Tag may be larger than the actual generation amount from the RPS facility. Only the fraction of the schedule actually generated by the RPS eligible facility, procured by the retail seller and scheduled into a CBA may be classified as PCC 1. </w:t>
      </w:r>
      <w:r w:rsidR="00C02FD5" w:rsidRPr="0080220E">
        <w:rPr>
          <w:rStyle w:val="FootnoteReference"/>
          <w:rFonts w:ascii="Garamond" w:hAnsi="Garamond" w:cs="Arial"/>
          <w:bCs/>
          <w:kern w:val="32"/>
          <w:sz w:val="24"/>
          <w:u w:val="single"/>
        </w:rPr>
        <w:footnoteReference w:id="12"/>
      </w:r>
    </w:p>
    <w:p w14:paraId="17100BB2" w14:textId="77777777" w:rsidR="00C25DC3" w:rsidRPr="0080220E" w:rsidRDefault="00C25DC3" w:rsidP="00C25DC3">
      <w:pPr>
        <w:spacing w:after="120"/>
        <w:rPr>
          <w:rFonts w:ascii="Garamond" w:hAnsi="Garamond" w:cs="Arial"/>
          <w:bCs/>
          <w:sz w:val="24"/>
        </w:rPr>
      </w:pPr>
      <w:r w:rsidRPr="0080220E">
        <w:rPr>
          <w:rFonts w:ascii="Garamond" w:hAnsi="Garamond"/>
          <w:bCs/>
          <w:sz w:val="24"/>
        </w:rPr>
        <w:t>Similarly, RECs will be created for all generated output from the RPS eligible facility, including</w:t>
      </w:r>
      <w:r w:rsidRPr="0080220E">
        <w:rPr>
          <w:rFonts w:ascii="Garamond" w:hAnsi="Garamond" w:cs="Arial"/>
          <w:bCs/>
          <w:sz w:val="24"/>
        </w:rPr>
        <w:t xml:space="preserve"> generation that exceeds the schedule.  However, only the fraction of the generation that meets the schedule will be classified as PCC 1. </w:t>
      </w:r>
    </w:p>
    <w:p w14:paraId="5D9D5BB1" w14:textId="77777777" w:rsidR="00C25DC3" w:rsidRPr="0080220E" w:rsidRDefault="00C25DC3" w:rsidP="00C25DC3">
      <w:pPr>
        <w:spacing w:after="120"/>
        <w:rPr>
          <w:rFonts w:ascii="Garamond" w:hAnsi="Garamond" w:cs="Arial"/>
          <w:bCs/>
          <w:sz w:val="24"/>
        </w:rPr>
      </w:pPr>
      <w:r w:rsidRPr="0080220E">
        <w:rPr>
          <w:rFonts w:ascii="Garamond" w:hAnsi="Garamond" w:cs="Arial"/>
          <w:bCs/>
          <w:kern w:val="32"/>
          <w:sz w:val="24"/>
        </w:rPr>
        <w:t>In D.11-12-052, the CPUC specified that a retail seller may claim PCC 1 RECs from resources with dynamic transfer agreements</w:t>
      </w:r>
      <w:r w:rsidRPr="0080220E">
        <w:rPr>
          <w:rStyle w:val="FootnoteReference"/>
          <w:rFonts w:ascii="Garamond" w:hAnsi="Garamond" w:cs="Arial"/>
          <w:bCs/>
          <w:kern w:val="32"/>
          <w:sz w:val="24"/>
        </w:rPr>
        <w:footnoteReference w:id="13"/>
      </w:r>
      <w:r w:rsidRPr="0080220E">
        <w:rPr>
          <w:rFonts w:ascii="Garamond" w:hAnsi="Garamond" w:cs="Arial"/>
          <w:bCs/>
          <w:kern w:val="32"/>
          <w:sz w:val="24"/>
        </w:rPr>
        <w:t xml:space="preserve"> provided that, “the generation from that facility is scheduled into a California balancing authority pursuant to a dynamic scheduling agreement between the balancing authority where the generation facility is located and the California balancing authority into which the generation is scheduled.”</w:t>
      </w:r>
      <w:r w:rsidRPr="0080220E">
        <w:rPr>
          <w:rStyle w:val="FootnoteReference"/>
          <w:rFonts w:ascii="Garamond" w:hAnsi="Garamond" w:cs="Arial"/>
          <w:bCs/>
          <w:kern w:val="32"/>
          <w:sz w:val="24"/>
        </w:rPr>
        <w:footnoteReference w:id="14"/>
      </w:r>
    </w:p>
    <w:p w14:paraId="78D37FB2" w14:textId="77777777" w:rsidR="00C25DC3" w:rsidRPr="0080220E" w:rsidRDefault="00C25DC3" w:rsidP="00C25DC3">
      <w:pPr>
        <w:spacing w:after="120"/>
        <w:rPr>
          <w:rFonts w:ascii="Garamond" w:hAnsi="Garamond" w:cs="Arial"/>
          <w:bCs/>
          <w:sz w:val="24"/>
        </w:rPr>
      </w:pPr>
      <w:r w:rsidRPr="0080220E">
        <w:rPr>
          <w:rFonts w:ascii="Garamond" w:hAnsi="Garamond" w:cs="Arial"/>
          <w:bCs/>
          <w:sz w:val="24"/>
        </w:rPr>
        <w:t>The auditable package for PCC 1 claims scheduled into a CBA, including those with a dynamic scheduling agreement, includes the following information:</w:t>
      </w:r>
    </w:p>
    <w:p w14:paraId="64D6CD2B" w14:textId="77777777" w:rsidR="00C25DC3" w:rsidRPr="0080220E" w:rsidRDefault="00C25DC3" w:rsidP="00C25DC3">
      <w:pPr>
        <w:numPr>
          <w:ilvl w:val="0"/>
          <w:numId w:val="5"/>
        </w:numPr>
        <w:rPr>
          <w:rFonts w:ascii="Garamond" w:hAnsi="Garamond" w:cs="Arial"/>
          <w:bCs/>
          <w:sz w:val="24"/>
        </w:rPr>
      </w:pPr>
      <w:r w:rsidRPr="0080220E">
        <w:rPr>
          <w:rFonts w:ascii="Garamond" w:hAnsi="Garamond" w:cs="Arial"/>
          <w:bCs/>
          <w:sz w:val="24"/>
        </w:rPr>
        <w:t>Power Purchase Agreement (PPA) specifying the purchase of bundled RPS eligible electricity and RECs</w:t>
      </w:r>
    </w:p>
    <w:p w14:paraId="1F89CE0E" w14:textId="77A2D691" w:rsidR="00C25DC3" w:rsidRPr="0080220E" w:rsidRDefault="00C25DC3" w:rsidP="00C25DC3">
      <w:pPr>
        <w:numPr>
          <w:ilvl w:val="0"/>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The WREGIS e-Tag Summary Report, </w:t>
      </w:r>
      <w:r w:rsidR="00FA5B5F" w:rsidRPr="0080220E">
        <w:rPr>
          <w:rFonts w:ascii="Garamond" w:hAnsi="Garamond" w:cs="Arial"/>
          <w:bCs/>
          <w:sz w:val="24"/>
        </w:rPr>
        <w:t>and/</w:t>
      </w:r>
      <w:r w:rsidRPr="0080220E">
        <w:rPr>
          <w:rFonts w:ascii="Garamond" w:hAnsi="Garamond" w:cs="Arial"/>
          <w:bCs/>
          <w:sz w:val="24"/>
        </w:rPr>
        <w:t>or RPS Hourly e-Tag Summary Report for e-Tags that are not reported through WREGIS, is used to synthesize important e-Tag information for Energy Division’s PCC classification process.</w:t>
      </w:r>
      <w:r w:rsidRPr="0080220E">
        <w:rPr>
          <w:rStyle w:val="FootnoteReference"/>
          <w:rFonts w:ascii="Garamond" w:hAnsi="Garamond" w:cs="Arial"/>
          <w:bCs/>
          <w:sz w:val="24"/>
        </w:rPr>
        <w:footnoteReference w:id="15"/>
      </w:r>
      <w:r w:rsidRPr="0080220E">
        <w:rPr>
          <w:rFonts w:ascii="Garamond" w:hAnsi="Garamond" w:cs="Arial"/>
          <w:bCs/>
          <w:sz w:val="24"/>
        </w:rPr>
        <w:t xml:space="preserve">  The information included in th</w:t>
      </w:r>
      <w:r w:rsidRPr="0080220E">
        <w:rPr>
          <w:rFonts w:ascii="Garamond" w:hAnsi="Garamond"/>
          <w:bCs/>
          <w:sz w:val="24"/>
        </w:rPr>
        <w:t xml:space="preserve">e </w:t>
      </w:r>
      <w:r w:rsidRPr="0080220E">
        <w:rPr>
          <w:rFonts w:ascii="Garamond" w:hAnsi="Garamond" w:cs="Arial"/>
          <w:bCs/>
          <w:sz w:val="24"/>
        </w:rPr>
        <w:t xml:space="preserve">WREGIS e-Tag Summary Report, </w:t>
      </w:r>
      <w:r w:rsidR="00FA5B5F" w:rsidRPr="0080220E">
        <w:rPr>
          <w:rFonts w:ascii="Garamond" w:hAnsi="Garamond" w:cs="Arial"/>
          <w:bCs/>
          <w:sz w:val="24"/>
        </w:rPr>
        <w:t>and/</w:t>
      </w:r>
      <w:r w:rsidRPr="0080220E">
        <w:rPr>
          <w:rFonts w:ascii="Garamond" w:hAnsi="Garamond" w:cs="Arial"/>
          <w:bCs/>
          <w:sz w:val="24"/>
        </w:rPr>
        <w:t>or the RPS Hourly e-Tag Summary Report, should match the information found on individual retail seller NERC e-Tags.</w:t>
      </w:r>
      <w:r w:rsidRPr="0080220E">
        <w:rPr>
          <w:rStyle w:val="FootnoteReference"/>
          <w:rFonts w:ascii="Garamond" w:hAnsi="Garamond" w:cs="Arial"/>
          <w:bCs/>
          <w:sz w:val="24"/>
        </w:rPr>
        <w:footnoteReference w:id="16"/>
      </w:r>
      <w:r w:rsidRPr="0080220E">
        <w:rPr>
          <w:rFonts w:ascii="Garamond" w:hAnsi="Garamond" w:cs="Arial"/>
          <w:bCs/>
          <w:sz w:val="24"/>
        </w:rPr>
        <w:t xml:space="preserve"> The following information is required for all e-Tags, either in the WREGIS e-Tag Summary Report or the RPS Hourly e-Tag Summary Report:</w:t>
      </w:r>
      <w:r w:rsidRPr="0080220E">
        <w:rPr>
          <w:rStyle w:val="FootnoteReference"/>
          <w:rFonts w:ascii="Garamond" w:hAnsi="Garamond" w:cs="Arial"/>
          <w:bCs/>
          <w:sz w:val="24"/>
        </w:rPr>
        <w:footnoteReference w:id="17"/>
      </w:r>
    </w:p>
    <w:p w14:paraId="04B2A3FD"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lastRenderedPageBreak/>
        <w:t>e-Tag Identification number: Input the identification number (e-Tag Code) assigned to the e-Tag for the e-Tag query period.</w:t>
      </w:r>
    </w:p>
    <w:p w14:paraId="5449DD87"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Start Date: Input the start date and time for energy flow during the e-Tag query period. </w:t>
      </w:r>
    </w:p>
    <w:p w14:paraId="30C45BDC"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Stop Date:  Input the stop date</w:t>
      </w:r>
      <w:r w:rsidRPr="0080220E" w:rsidDel="00931D44">
        <w:rPr>
          <w:rFonts w:ascii="Garamond" w:hAnsi="Garamond" w:cs="Arial"/>
          <w:bCs/>
          <w:sz w:val="24"/>
        </w:rPr>
        <w:t xml:space="preserve"> </w:t>
      </w:r>
      <w:r w:rsidRPr="0080220E">
        <w:rPr>
          <w:rFonts w:ascii="Garamond" w:hAnsi="Garamond" w:cs="Arial"/>
          <w:bCs/>
          <w:sz w:val="24"/>
        </w:rPr>
        <w:t>and time for energy flow during the e-Tag query period.</w:t>
      </w:r>
    </w:p>
    <w:p w14:paraId="7804DC43"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Generator Name as listed on e-Tag: Input the name of the source facility generating the RPS eligible electricity as it appears on the corresponding e-Tag. For the first compliance period only, if there is another source listed, the retail seller must provide a written explanation as to why this is the case and how staff can determine that the amount or percentage of the amount on the e-Tag is attributable to the specific RPS facility. Staff will evaluate the explanation to determine if the claim or a portion of the claim can be classified as PCC 1. For the second compliance period and forward, the source on the e-Tag must be the RPS-certified facility for which the PCC 1 claims are made. </w:t>
      </w:r>
    </w:p>
    <w:p w14:paraId="6D82F245"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Load as listed on e-Tag: Input the “Load” point that is registered with NERC as the “Sink Point” (aka Sink, Last Point of Delivery, POD) and listed on the e-Tag. In order to count as PCC 1 the “Load” point must be within a CBA. </w:t>
      </w:r>
    </w:p>
    <w:p w14:paraId="53952BB0"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Load Control Area (LCA) as listed on e-Tag:</w:t>
      </w:r>
      <w:r w:rsidRPr="0080220E">
        <w:rPr>
          <w:rFonts w:ascii="Garamond" w:hAnsi="Garamond"/>
          <w:bCs/>
          <w:sz w:val="24"/>
        </w:rPr>
        <w:t xml:space="preserve"> The LCA must represent generation scheduled into a CBA. LCAs that are not CBAs or are not located in CBAs should not be included. Generation amounts that are associated with LCAs that are not in a CBA, or cannot be located within a CBA, will not be classified as PCC 1.</w:t>
      </w:r>
    </w:p>
    <w:p w14:paraId="1CB9EB10"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Generator Control Area (aka Generator Balancing Area) on the e-Tag: For PCC 1 claims, this must be the Generator Control Area or the balancing authority where the RPS renewable energy resource is located </w:t>
      </w:r>
    </w:p>
    <w:p w14:paraId="237B7C69"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Total MWh on e-Tag for the time period: Input the total MWh (up to four decimal places) of RPS eligible electricity scheduled into a CBA.</w:t>
      </w:r>
    </w:p>
    <w:p w14:paraId="53609971"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Used MWh: Input the MWh amount of e-Tag scheduled electricity that has been successfully matched with RECs tracked in WREGIS. The “Used MWh” amount should not be higher than the sum of the lesser of the hourly generation and hourly final schedule amounts for the timeframe on the e-Tag, but may include the accumulated kWh.</w:t>
      </w:r>
      <w:r w:rsidRPr="0080220E">
        <w:rPr>
          <w:rStyle w:val="FootnoteReference"/>
          <w:rFonts w:ascii="Garamond" w:hAnsi="Garamond" w:cs="Arial"/>
          <w:bCs/>
          <w:sz w:val="24"/>
        </w:rPr>
        <w:footnoteReference w:id="18"/>
      </w:r>
      <w:r w:rsidRPr="0080220E">
        <w:rPr>
          <w:rFonts w:ascii="Garamond" w:hAnsi="Garamond" w:cs="Arial"/>
          <w:bCs/>
          <w:sz w:val="24"/>
        </w:rPr>
        <w:t xml:space="preserve"> No more than what was generated by the RPS-certified facility and which met the final schedule should be matched per e-Tag.</w:t>
      </w:r>
    </w:p>
    <w:p w14:paraId="3BEB60F6"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MWh Remaining: Input the MWh amount of e-Tag scheduled electricity that has not been successfully matched with RECs tracked in WREGIS. </w:t>
      </w:r>
    </w:p>
    <w:p w14:paraId="4FF3A032"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lastRenderedPageBreak/>
        <w:t xml:space="preserve">Importing Entity: The RPS ID for the Purchasing/Selling Entities (PSE) as listed on the “Importing Entity” line of e-Tag with.  The “Importing Entity” must RPS ID must also be listed in the “Miscellaneous Token Field RPS_ID” field.  </w:t>
      </w:r>
    </w:p>
    <w:p w14:paraId="50558E68"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Miscellaneous Token Field RPS_ID: Input up to 10 Miscellaneous Token Field RPS_ID</w:t>
      </w:r>
      <w:r w:rsidRPr="0080220E" w:rsidDel="00D93F71">
        <w:rPr>
          <w:rFonts w:ascii="Garamond" w:hAnsi="Garamond" w:cs="Arial"/>
          <w:bCs/>
          <w:sz w:val="24"/>
        </w:rPr>
        <w:t xml:space="preserve"> </w:t>
      </w:r>
      <w:r w:rsidRPr="0080220E">
        <w:rPr>
          <w:rFonts w:ascii="Garamond" w:hAnsi="Garamond" w:cs="Arial"/>
          <w:bCs/>
          <w:sz w:val="24"/>
        </w:rPr>
        <w:t xml:space="preserve">values associated with the physical delivery path of RPS procurement delivered into a CBA. </w:t>
      </w:r>
    </w:p>
    <w:p w14:paraId="7D45095D" w14:textId="77777777" w:rsidR="00C25DC3" w:rsidRPr="0080220E" w:rsidRDefault="00C25DC3" w:rsidP="00C25DC3">
      <w:pPr>
        <w:numPr>
          <w:ilvl w:val="1"/>
          <w:numId w:val="5"/>
        </w:numPr>
        <w:tabs>
          <w:tab w:val="clear" w:pos="360"/>
        </w:tabs>
        <w:suppressAutoHyphens w:val="0"/>
        <w:spacing w:after="120"/>
        <w:rPr>
          <w:rFonts w:ascii="Garamond" w:hAnsi="Garamond" w:cs="Arial"/>
          <w:bCs/>
          <w:sz w:val="24"/>
        </w:rPr>
      </w:pPr>
      <w:r w:rsidRPr="0080220E">
        <w:rPr>
          <w:rFonts w:ascii="Garamond" w:hAnsi="Garamond" w:cs="Arial"/>
          <w:bCs/>
          <w:sz w:val="24"/>
        </w:rPr>
        <w:t xml:space="preserve">Comments: For e-Tags associated with RECs tracked through WREGIS, input the “WREGIS Certificate Serial Numbers” for any RECs in WREGIS subaccounts. </w:t>
      </w:r>
    </w:p>
    <w:p w14:paraId="5C852FF7" w14:textId="77777777" w:rsidR="00C25DC3" w:rsidRPr="0080220E" w:rsidRDefault="00C25DC3" w:rsidP="00C25DC3">
      <w:pPr>
        <w:pStyle w:val="ListBullet"/>
        <w:spacing w:after="120"/>
        <w:rPr>
          <w:rFonts w:ascii="Garamond" w:hAnsi="Garamond"/>
          <w:bCs/>
          <w:sz w:val="24"/>
        </w:rPr>
      </w:pPr>
      <w:r w:rsidRPr="0080220E">
        <w:rPr>
          <w:rFonts w:ascii="Garamond" w:hAnsi="Garamond"/>
          <w:bCs/>
          <w:sz w:val="24"/>
        </w:rPr>
        <w:t>The Hourly Meter and e-Tag Reconciliation Report spreadsheet, complete with:</w:t>
      </w:r>
    </w:p>
    <w:p w14:paraId="7C8E083E" w14:textId="6167D435"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Date (</w:t>
      </w:r>
      <w:r w:rsidR="00FA5B5F" w:rsidRPr="0080220E">
        <w:rPr>
          <w:rFonts w:ascii="Garamond" w:hAnsi="Garamond"/>
          <w:bCs/>
          <w:sz w:val="24"/>
        </w:rPr>
        <w:t>mm/dd/yyyy</w:t>
      </w:r>
      <w:r w:rsidRPr="0080220E">
        <w:rPr>
          <w:rFonts w:ascii="Garamond" w:hAnsi="Garamond"/>
          <w:bCs/>
          <w:sz w:val="24"/>
        </w:rPr>
        <w:t>)</w:t>
      </w:r>
    </w:p>
    <w:p w14:paraId="6FDF39D7" w14:textId="6744DA2E"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Hour Ending</w:t>
      </w:r>
    </w:p>
    <w:p w14:paraId="61BAEF1B" w14:textId="57730A40"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E-Tag ID Number:</w:t>
      </w:r>
      <w:r w:rsidRPr="0080220E">
        <w:rPr>
          <w:rFonts w:ascii="Garamond" w:hAnsi="Garamond" w:cs="Arial"/>
          <w:bCs/>
          <w:sz w:val="24"/>
        </w:rPr>
        <w:t xml:space="preserve"> </w:t>
      </w:r>
      <w:r w:rsidRPr="0080220E">
        <w:rPr>
          <w:rFonts w:ascii="Garamond" w:hAnsi="Garamond"/>
          <w:bCs/>
          <w:sz w:val="24"/>
        </w:rPr>
        <w:t>This field the identification number for the e-Tag. In the case of multiple e-Tags per hour, report e-Tag information on its own row.</w:t>
      </w:r>
    </w:p>
    <w:p w14:paraId="5B73BE57" w14:textId="77777777"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Final e-Tag Schedule (MWh): Input the total amount of MWh from the Final e-Tag Schedule. Retail sellers may include four decimal points on MWh figures if they are converting procurement from kWh.</w:t>
      </w:r>
    </w:p>
    <w:p w14:paraId="025A0027" w14:textId="735D1688"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 xml:space="preserve">RPS </w:t>
      </w:r>
      <w:r w:rsidR="00FA5B5F" w:rsidRPr="00DA353D">
        <w:rPr>
          <w:rFonts w:ascii="Garamond" w:hAnsi="Garamond"/>
          <w:bCs/>
          <w:sz w:val="24"/>
        </w:rPr>
        <w:t>F</w:t>
      </w:r>
      <w:r w:rsidRPr="0080220E">
        <w:rPr>
          <w:rFonts w:ascii="Garamond" w:hAnsi="Garamond"/>
          <w:bCs/>
          <w:sz w:val="24"/>
        </w:rPr>
        <w:t>acility’s Hourly Meter Data (MWh): Input the amount of MWh generated by the contracted RPS facility during the corresponding hour(s) on the e-Tag.  Retail sellers may include four decimal points on MWh figures if they are converting procurement from kWh.</w:t>
      </w:r>
    </w:p>
    <w:p w14:paraId="51C484E6" w14:textId="77777777"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Percent Share of Schedule:  Enter the procuring entity’s percentage share of the total e-Tag schedule amount. If the procuring entity is entitled to the entirety of a facility’s e-Tag schedule amount, enter 100%.</w:t>
      </w:r>
    </w:p>
    <w:p w14:paraId="7B2B5640" w14:textId="77777777"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Percent share of facility’s output:</w:t>
      </w:r>
      <w:r w:rsidRPr="0080220E">
        <w:rPr>
          <w:rStyle w:val="FootnoteReference"/>
          <w:rFonts w:ascii="Garamond" w:hAnsi="Garamond"/>
          <w:bCs/>
          <w:sz w:val="24"/>
        </w:rPr>
        <w:t xml:space="preserve"> </w:t>
      </w:r>
      <w:r w:rsidRPr="0080220E">
        <w:rPr>
          <w:rStyle w:val="FootnoteReference"/>
          <w:rFonts w:ascii="Garamond" w:hAnsi="Garamond"/>
          <w:bCs/>
          <w:sz w:val="24"/>
        </w:rPr>
        <w:footnoteReference w:id="19"/>
      </w:r>
      <w:r w:rsidRPr="0080220E">
        <w:rPr>
          <w:rFonts w:ascii="Garamond" w:hAnsi="Garamond"/>
          <w:bCs/>
          <w:sz w:val="24"/>
        </w:rPr>
        <w:t xml:space="preserve"> This field, which is calculated, determines procuring entity’s percentage share of the facility’s hourly generation amount. </w:t>
      </w:r>
    </w:p>
    <w:p w14:paraId="4898DF45" w14:textId="77777777"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Retail Seller Contract Reference Number or Contract ID Number.</w:t>
      </w:r>
    </w:p>
    <w:p w14:paraId="2BBA2406" w14:textId="77777777" w:rsidR="00C25DC3" w:rsidRPr="0080220E" w:rsidRDefault="00C25DC3" w:rsidP="00C25DC3">
      <w:pPr>
        <w:numPr>
          <w:ilvl w:val="0"/>
          <w:numId w:val="10"/>
        </w:numPr>
        <w:tabs>
          <w:tab w:val="clear" w:pos="360"/>
        </w:tabs>
        <w:spacing w:after="120"/>
        <w:rPr>
          <w:rFonts w:ascii="Garamond" w:hAnsi="Garamond"/>
          <w:bCs/>
          <w:sz w:val="24"/>
        </w:rPr>
      </w:pPr>
      <w:r w:rsidRPr="0080220E">
        <w:rPr>
          <w:rFonts w:ascii="Garamond" w:hAnsi="Garamond"/>
          <w:bCs/>
          <w:sz w:val="24"/>
        </w:rPr>
        <w:t xml:space="preserve">Eligible PCC 1 Volume: This field, which is calculated, determines the amount of MWh eligible for PCC 1 classification by comparing the retail sellers share of the final hourly schedule amount (“Final e-Tag Schedule (MWh)” times “Percent Share of Schedule”) and the “Allocated Hourly Meter Amount.”  </w:t>
      </w:r>
    </w:p>
    <w:p w14:paraId="1F04B85F" w14:textId="77777777" w:rsidR="00C25DC3" w:rsidRPr="0080220E" w:rsidRDefault="00C25DC3" w:rsidP="00C25DC3">
      <w:pPr>
        <w:pStyle w:val="Default"/>
        <w:spacing w:after="120"/>
        <w:rPr>
          <w:rFonts w:ascii="Garamond" w:hAnsi="Garamond"/>
          <w:bCs/>
          <w:color w:val="auto"/>
        </w:rPr>
      </w:pPr>
      <w:r w:rsidRPr="0080220E">
        <w:rPr>
          <w:rFonts w:ascii="Garamond" w:hAnsi="Garamond"/>
          <w:bCs/>
          <w:color w:val="auto"/>
        </w:rPr>
        <w:t>See table III.C.2 on the next page for an illustration of the Energy Division review process.</w:t>
      </w:r>
    </w:p>
    <w:p w14:paraId="1321E536" w14:textId="77777777" w:rsidR="00C25DC3" w:rsidRPr="00DA353D" w:rsidRDefault="00C25DC3" w:rsidP="00C25DC3">
      <w:pPr>
        <w:pStyle w:val="Default"/>
        <w:spacing w:after="120"/>
        <w:rPr>
          <w:rFonts w:ascii="Garamond" w:hAnsi="Garamond"/>
          <w:bCs/>
          <w:color w:val="auto"/>
        </w:rPr>
        <w:sectPr w:rsidR="00C25DC3" w:rsidRPr="00DA353D" w:rsidSect="00515FA6">
          <w:pgSz w:w="12240" w:h="15840"/>
          <w:pgMar w:top="1440" w:right="1440" w:bottom="1440" w:left="1440" w:header="720" w:footer="720" w:gutter="0"/>
          <w:pgNumType w:start="1"/>
          <w:cols w:space="720"/>
          <w:docGrid w:linePitch="360"/>
        </w:sectPr>
      </w:pPr>
    </w:p>
    <w:p w14:paraId="16631426" w14:textId="42E22393" w:rsidR="00C25DC3" w:rsidRPr="00DA353D" w:rsidRDefault="00C25DC3" w:rsidP="00C25DC3">
      <w:pPr>
        <w:pStyle w:val="Default"/>
        <w:spacing w:after="120"/>
        <w:rPr>
          <w:rFonts w:ascii="Garamond" w:hAnsi="Garamond"/>
          <w:bCs/>
          <w:color w:val="auto"/>
        </w:rPr>
      </w:pPr>
      <w:r w:rsidRPr="00DA353D">
        <w:rPr>
          <w:rFonts w:ascii="Garamond" w:hAnsi="Garamond"/>
          <w:bCs/>
          <w:color w:val="auto"/>
        </w:rPr>
        <w:lastRenderedPageBreak/>
        <w:t>Table III.C.2. Energy Division Process for Reviewing Require</w:t>
      </w:r>
      <w:r w:rsidRPr="00DA353D">
        <w:rPr>
          <w:rFonts w:ascii="Garamond" w:hAnsi="Garamond"/>
          <w:bCs/>
          <w:color w:val="auto"/>
        </w:rPr>
        <w:softHyphen/>
      </w:r>
      <w:r w:rsidRPr="00DA353D">
        <w:rPr>
          <w:rFonts w:ascii="Garamond" w:hAnsi="Garamond"/>
          <w:bCs/>
          <w:color w:val="auto"/>
        </w:rPr>
        <w:softHyphen/>
      </w:r>
      <w:r w:rsidRPr="00DA353D">
        <w:rPr>
          <w:rFonts w:ascii="Garamond" w:hAnsi="Garamond"/>
          <w:bCs/>
          <w:color w:val="auto"/>
        </w:rPr>
        <w:softHyphen/>
      </w:r>
      <w:r w:rsidRPr="00DA353D">
        <w:rPr>
          <w:rFonts w:ascii="Garamond" w:hAnsi="Garamond"/>
          <w:bCs/>
          <w:color w:val="auto"/>
        </w:rPr>
        <w:softHyphen/>
        <w:t>d Documents for PCC 1 Claims from Facilities Scheduling Electricity into a CBA on an Hourly or Sub-Hourly Basis</w:t>
      </w:r>
    </w:p>
    <w:p w14:paraId="7208ACE0" w14:textId="7ABF50DC" w:rsidR="00C25DC3" w:rsidRPr="0080220E" w:rsidRDefault="00E27B9A" w:rsidP="00C25DC3">
      <w:pPr>
        <w:spacing w:after="120"/>
        <w:jc w:val="center"/>
        <w:rPr>
          <w:rFonts w:ascii="Garamond" w:hAnsi="Garamond"/>
          <w:bCs/>
          <w:sz w:val="24"/>
        </w:rPr>
        <w:sectPr w:rsidR="00C25DC3" w:rsidRPr="0080220E" w:rsidSect="00515FA6">
          <w:pgSz w:w="15840" w:h="12240" w:orient="landscape"/>
          <w:pgMar w:top="1440" w:right="1440" w:bottom="1440" w:left="1440" w:header="720" w:footer="720" w:gutter="0"/>
          <w:pgNumType w:start="16"/>
          <w:cols w:space="720"/>
          <w:docGrid w:linePitch="360"/>
        </w:sectPr>
      </w:pPr>
      <w:r>
        <w:rPr>
          <w:rFonts w:ascii="Garamond" w:hAnsi="Garamond"/>
          <w:bCs/>
          <w:noProof/>
          <w:sz w:val="24"/>
        </w:rPr>
        <mc:AlternateContent>
          <mc:Choice Requires="wps">
            <w:drawing>
              <wp:anchor distT="0" distB="0" distL="114300" distR="114300" simplePos="0" relativeHeight="251722752" behindDoc="0" locked="0" layoutInCell="1" allowOverlap="1" wp14:anchorId="188E03EE" wp14:editId="7F1E5D34">
                <wp:simplePos x="0" y="0"/>
                <wp:positionH relativeFrom="column">
                  <wp:posOffset>233464</wp:posOffset>
                </wp:positionH>
                <wp:positionV relativeFrom="paragraph">
                  <wp:posOffset>543938</wp:posOffset>
                </wp:positionV>
                <wp:extent cx="3861570" cy="369651"/>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861570" cy="369651"/>
                        </a:xfrm>
                        <a:prstGeom prst="rect">
                          <a:avLst/>
                        </a:prstGeom>
                        <a:solidFill>
                          <a:schemeClr val="lt1"/>
                        </a:solidFill>
                        <a:ln w="6350">
                          <a:noFill/>
                        </a:ln>
                      </wps:spPr>
                      <wps:txbx>
                        <w:txbxContent>
                          <w:p w14:paraId="60D5934E" w14:textId="3627B3C0" w:rsidR="00A60BAB" w:rsidRPr="00B42802" w:rsidRDefault="00A60BAB" w:rsidP="00E27B9A">
                            <w:pPr>
                              <w:rPr>
                                <w:sz w:val="16"/>
                                <w:szCs w:val="18"/>
                                <w:u w:val="single"/>
                              </w:rPr>
                            </w:pPr>
                            <w:r w:rsidRPr="00B42802">
                              <w:rPr>
                                <w:sz w:val="16"/>
                                <w:szCs w:val="18"/>
                                <w:u w:val="single"/>
                              </w:rPr>
                              <w:t xml:space="preserve">Compare Contract Details tab to </w:t>
                            </w:r>
                            <w:r>
                              <w:rPr>
                                <w:sz w:val="16"/>
                                <w:szCs w:val="18"/>
                                <w:u w:val="single"/>
                              </w:rPr>
                              <w:t>Contract and Dynamic Transfer Agreement</w:t>
                            </w:r>
                            <w:r w:rsidRPr="00B42802">
                              <w:rPr>
                                <w:sz w:val="16"/>
                                <w:szCs w:val="18"/>
                                <w:u w:val="single"/>
                              </w:rPr>
                              <w:t xml:space="preserve">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03EE" id="Text Box 40" o:spid="_x0000_s1042" type="#_x0000_t202" style="position:absolute;left:0;text-align:left;margin-left:18.4pt;margin-top:42.85pt;width:304.05pt;height:2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" fillcolor="white [3201]" stroked="f" strokeweight=".5pt">
                <v:textbox>
                  <w:txbxContent>
                    <w:p w14:paraId="60D5934E" w14:textId="3627B3C0" w:rsidR="00A60BAB" w:rsidRPr="00B42802" w:rsidRDefault="00A60BAB" w:rsidP="00E27B9A">
                      <w:pPr>
                        <w:rPr>
                          <w:sz w:val="16"/>
                          <w:szCs w:val="18"/>
                          <w:u w:val="single"/>
                        </w:rPr>
                      </w:pPr>
                      <w:r w:rsidRPr="00B42802">
                        <w:rPr>
                          <w:sz w:val="16"/>
                          <w:szCs w:val="18"/>
                          <w:u w:val="single"/>
                        </w:rPr>
                        <w:t xml:space="preserve">Compare Contract Details tab to </w:t>
                      </w:r>
                      <w:r>
                        <w:rPr>
                          <w:sz w:val="16"/>
                          <w:szCs w:val="18"/>
                          <w:u w:val="single"/>
                        </w:rPr>
                        <w:t>Contract and Dynamic Transfer Agreement</w:t>
                      </w:r>
                      <w:r w:rsidRPr="00B42802">
                        <w:rPr>
                          <w:sz w:val="16"/>
                          <w:szCs w:val="18"/>
                          <w:u w:val="single"/>
                        </w:rPr>
                        <w:t xml:space="preserve"> to confirm:</w:t>
                      </w:r>
                    </w:p>
                  </w:txbxContent>
                </v:textbox>
              </v:shape>
            </w:pict>
          </mc:Fallback>
        </mc:AlternateContent>
      </w:r>
      <w:r w:rsidR="00B42802">
        <w:rPr>
          <w:rFonts w:ascii="Garamond" w:hAnsi="Garamond"/>
          <w:bCs/>
          <w:noProof/>
          <w:sz w:val="24"/>
        </w:rPr>
        <mc:AlternateContent>
          <mc:Choice Requires="wps">
            <w:drawing>
              <wp:anchor distT="0" distB="0" distL="114300" distR="114300" simplePos="0" relativeHeight="251720704" behindDoc="0" locked="0" layoutInCell="1" allowOverlap="1" wp14:anchorId="5F1097F8" wp14:editId="28D59377">
                <wp:simplePos x="0" y="0"/>
                <wp:positionH relativeFrom="column">
                  <wp:posOffset>2830749</wp:posOffset>
                </wp:positionH>
                <wp:positionV relativeFrom="paragraph">
                  <wp:posOffset>2771572</wp:posOffset>
                </wp:positionV>
                <wp:extent cx="4319081" cy="233464"/>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319081" cy="233464"/>
                        </a:xfrm>
                        <a:prstGeom prst="rect">
                          <a:avLst/>
                        </a:prstGeom>
                        <a:solidFill>
                          <a:schemeClr val="lt1"/>
                        </a:solidFill>
                        <a:ln w="6350">
                          <a:noFill/>
                        </a:ln>
                      </wps:spPr>
                      <wps:txbx>
                        <w:txbxContent>
                          <w:p w14:paraId="7DC901A2" w14:textId="77777777" w:rsidR="00A60BAB" w:rsidRPr="00B42802" w:rsidRDefault="00A60BAB" w:rsidP="00B42802">
                            <w:pPr>
                              <w:rPr>
                                <w:sz w:val="16"/>
                                <w:szCs w:val="18"/>
                                <w:u w:val="single"/>
                              </w:rPr>
                            </w:pPr>
                            <w:r w:rsidRPr="00B42802">
                              <w:rPr>
                                <w:sz w:val="16"/>
                                <w:szCs w:val="18"/>
                                <w:u w:val="single"/>
                              </w:rPr>
                              <w:t>Compare Contract Details tab to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97F8" id="Text Box 39" o:spid="_x0000_s1043" type="#_x0000_t202" style="position:absolute;left:0;text-align:left;margin-left:222.9pt;margin-top:218.25pt;width:340.1pt;height:1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" fillcolor="white [3201]" stroked="f" strokeweight=".5pt">
                <v:textbox>
                  <w:txbxContent>
                    <w:p w14:paraId="7DC901A2" w14:textId="77777777" w:rsidR="00A60BAB" w:rsidRPr="00B42802" w:rsidRDefault="00A60BAB" w:rsidP="00B42802">
                      <w:pPr>
                        <w:rPr>
                          <w:sz w:val="16"/>
                          <w:szCs w:val="18"/>
                          <w:u w:val="single"/>
                        </w:rPr>
                      </w:pPr>
                      <w:r w:rsidRPr="00B42802">
                        <w:rPr>
                          <w:sz w:val="16"/>
                          <w:szCs w:val="18"/>
                          <w:u w:val="single"/>
                        </w:rPr>
                        <w:t>Compare Contract Details tab to WREGIS Compliance Reports to confirm:</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74624" behindDoc="0" locked="0" layoutInCell="1" allowOverlap="1" wp14:anchorId="51ADF9EF" wp14:editId="733E24F2">
                <wp:simplePos x="0" y="0"/>
                <wp:positionH relativeFrom="column">
                  <wp:posOffset>2826953</wp:posOffset>
                </wp:positionH>
                <wp:positionV relativeFrom="paragraph">
                  <wp:posOffset>4003594</wp:posOffset>
                </wp:positionV>
                <wp:extent cx="1264596" cy="369651"/>
                <wp:effectExtent l="0" t="0" r="5715" b="0"/>
                <wp:wrapNone/>
                <wp:docPr id="11" name="Text Box 11"/>
                <wp:cNvGraphicFramePr/>
                <a:graphic xmlns:a="http://schemas.openxmlformats.org/drawingml/2006/main">
                  <a:graphicData uri="http://schemas.microsoft.com/office/word/2010/wordprocessingShape">
                    <wps:wsp>
                      <wps:cNvSpPr txBox="1"/>
                      <wps:spPr>
                        <a:xfrm>
                          <a:off x="0" y="0"/>
                          <a:ext cx="1264596" cy="369651"/>
                        </a:xfrm>
                        <a:prstGeom prst="rect">
                          <a:avLst/>
                        </a:prstGeom>
                        <a:solidFill>
                          <a:schemeClr val="accent1">
                            <a:lumMod val="40000"/>
                            <a:lumOff val="60000"/>
                          </a:schemeClr>
                        </a:solidFill>
                        <a:ln w="6350">
                          <a:noFill/>
                        </a:ln>
                      </wps:spPr>
                      <wps:txbx>
                        <w:txbxContent>
                          <w:p w14:paraId="616BD079"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DF9EF" id="Text Box 11" o:spid="_x0000_s1044" type="#_x0000_t202" style="position:absolute;left:0;text-align:left;margin-left:222.6pt;margin-top:315.25pt;width:99.55pt;height:2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" fillcolor="#b8cce4 [1300]" stroked="f" strokeweight=".5pt">
                <v:textbox>
                  <w:txbxContent>
                    <w:p w14:paraId="616BD079"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72576" behindDoc="0" locked="0" layoutInCell="1" allowOverlap="1" wp14:anchorId="447F7FED" wp14:editId="236CA058">
                <wp:simplePos x="0" y="0"/>
                <wp:positionH relativeFrom="column">
                  <wp:posOffset>2830330</wp:posOffset>
                </wp:positionH>
                <wp:positionV relativeFrom="paragraph">
                  <wp:posOffset>1935170</wp:posOffset>
                </wp:positionV>
                <wp:extent cx="1264596" cy="369651"/>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1264596" cy="369651"/>
                        </a:xfrm>
                        <a:prstGeom prst="rect">
                          <a:avLst/>
                        </a:prstGeom>
                        <a:solidFill>
                          <a:schemeClr val="accent1">
                            <a:lumMod val="40000"/>
                            <a:lumOff val="60000"/>
                          </a:schemeClr>
                        </a:solidFill>
                        <a:ln w="6350">
                          <a:noFill/>
                        </a:ln>
                      </wps:spPr>
                      <wps:txbx>
                        <w:txbxContent>
                          <w:p w14:paraId="74D807C4"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7FED" id="Text Box 8" o:spid="_x0000_s1045" type="#_x0000_t202" style="position:absolute;left:0;text-align:left;margin-left:222.85pt;margin-top:152.4pt;width:99.55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" fillcolor="#b8cce4 [1300]" stroked="f" strokeweight=".5pt">
                <v:textbox>
                  <w:txbxContent>
                    <w:p w14:paraId="74D807C4"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70528" behindDoc="0" locked="0" layoutInCell="1" allowOverlap="1" wp14:anchorId="0C9520F6" wp14:editId="23225978">
                <wp:simplePos x="0" y="0"/>
                <wp:positionH relativeFrom="column">
                  <wp:posOffset>2830749</wp:posOffset>
                </wp:positionH>
                <wp:positionV relativeFrom="paragraph">
                  <wp:posOffset>174287</wp:posOffset>
                </wp:positionV>
                <wp:extent cx="1264596" cy="369651"/>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264596" cy="369651"/>
                        </a:xfrm>
                        <a:prstGeom prst="rect">
                          <a:avLst/>
                        </a:prstGeom>
                        <a:solidFill>
                          <a:schemeClr val="accent1">
                            <a:lumMod val="40000"/>
                            <a:lumOff val="60000"/>
                          </a:schemeClr>
                        </a:solidFill>
                        <a:ln w="6350">
                          <a:noFill/>
                        </a:ln>
                      </wps:spPr>
                      <wps:txbx>
                        <w:txbxContent>
                          <w:p w14:paraId="2A7020BE" w14:textId="1162AE2E" w:rsidR="00A60BAB" w:rsidRPr="00CA19EC" w:rsidRDefault="00A60BAB">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520F6" id="Text Box 7" o:spid="_x0000_s1046" type="#_x0000_t202" style="position:absolute;left:0;text-align:left;margin-left:222.9pt;margin-top:13.7pt;width:99.5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" fillcolor="#b8cce4 [1300]" stroked="f" strokeweight=".5pt">
                <v:textbox>
                  <w:txbxContent>
                    <w:p w14:paraId="2A7020BE" w14:textId="1162AE2E" w:rsidR="00A60BAB" w:rsidRPr="00CA19EC" w:rsidRDefault="00A60BAB">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4B23D5DC" wp14:editId="56CE058B">
            <wp:extent cx="7753969" cy="4925085"/>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60871" cy="4929469"/>
                    </a:xfrm>
                    <a:prstGeom prst="rect">
                      <a:avLst/>
                    </a:prstGeom>
                    <a:noFill/>
                    <a:ln>
                      <a:noFill/>
                    </a:ln>
                  </pic:spPr>
                </pic:pic>
              </a:graphicData>
            </a:graphic>
          </wp:inline>
        </w:drawing>
      </w:r>
    </w:p>
    <w:p w14:paraId="51DCFA9F" w14:textId="4E3F4498" w:rsidR="00C25DC3" w:rsidRPr="00F622FF" w:rsidRDefault="00C25DC3" w:rsidP="00DA353D">
      <w:pPr>
        <w:pStyle w:val="Heading2"/>
      </w:pPr>
      <w:bookmarkStart w:id="34" w:name="_Toc40196445"/>
      <w:r w:rsidRPr="00F622FF">
        <w:lastRenderedPageBreak/>
        <w:t>Requirements to Substantiate PCC 2 Claims Using Substitute Energy to Firm and Shape</w:t>
      </w:r>
      <w:bookmarkEnd w:id="34"/>
      <w:r w:rsidRPr="00F622FF">
        <w:t xml:space="preserve"> </w:t>
      </w:r>
    </w:p>
    <w:p w14:paraId="2587794F" w14:textId="55667883" w:rsidR="00C25DC3" w:rsidRPr="0080220E" w:rsidRDefault="00C25DC3" w:rsidP="00C25DC3">
      <w:pPr>
        <w:tabs>
          <w:tab w:val="clear" w:pos="360"/>
        </w:tabs>
        <w:suppressAutoHyphens w:val="0"/>
        <w:spacing w:after="120"/>
        <w:rPr>
          <w:rFonts w:ascii="Garamond" w:hAnsi="Garamond" w:cs="Arial"/>
          <w:bCs/>
          <w:sz w:val="24"/>
        </w:rPr>
      </w:pPr>
      <w:r w:rsidRPr="0080220E">
        <w:rPr>
          <w:rFonts w:ascii="Garamond" w:hAnsi="Garamond" w:cs="Arial"/>
          <w:bCs/>
          <w:sz w:val="24"/>
        </w:rPr>
        <w:t xml:space="preserve">For facilities with a first point of interconnection outside a CBA and importing substitute energy, retail sellers must substantiate that substitute energy was delivered into a CBA within one calendar year.  Specifically, retail sellers must provide the Energy Division with a WREGIS e-Tag Summary Report </w:t>
      </w:r>
      <w:r w:rsidR="002D19CC" w:rsidRPr="0080220E">
        <w:rPr>
          <w:rFonts w:ascii="Garamond" w:hAnsi="Garamond" w:cs="Arial"/>
          <w:bCs/>
          <w:sz w:val="24"/>
        </w:rPr>
        <w:t>and/</w:t>
      </w:r>
      <w:r w:rsidRPr="0080220E">
        <w:rPr>
          <w:rFonts w:ascii="Garamond" w:hAnsi="Garamond" w:cs="Arial"/>
          <w:bCs/>
          <w:sz w:val="24"/>
        </w:rPr>
        <w:t>or RPS Hourly e-Tag Summary Report to substantiate the delivery of system energy into a CBA in the required timeframe.</w:t>
      </w:r>
    </w:p>
    <w:p w14:paraId="5945937B" w14:textId="066F0B91" w:rsidR="00C25DC3" w:rsidRPr="00DA353D" w:rsidRDefault="00C25DC3" w:rsidP="00C25DC3">
      <w:pPr>
        <w:pStyle w:val="Default"/>
        <w:spacing w:after="120"/>
        <w:rPr>
          <w:rFonts w:ascii="Garamond" w:hAnsi="Garamond"/>
          <w:bCs/>
          <w:color w:val="auto"/>
        </w:rPr>
      </w:pPr>
      <w:r w:rsidRPr="00DA353D">
        <w:rPr>
          <w:rFonts w:ascii="Garamond" w:hAnsi="Garamond"/>
          <w:bCs/>
          <w:color w:val="auto"/>
        </w:rPr>
        <w:t>Table III.D. Energy Division Process for Reviewing Required Documents for PCC 2 Claims Using Substitute Energy to Firm and Shape</w:t>
      </w:r>
    </w:p>
    <w:p w14:paraId="5D37AFF9" w14:textId="040C978A" w:rsidR="00C25DC3" w:rsidRPr="0080220E" w:rsidRDefault="00CA1704" w:rsidP="00C25DC3">
      <w:pPr>
        <w:tabs>
          <w:tab w:val="clear" w:pos="360"/>
        </w:tabs>
        <w:suppressAutoHyphens w:val="0"/>
        <w:spacing w:after="120"/>
        <w:jc w:val="center"/>
        <w:rPr>
          <w:rFonts w:ascii="Garamond" w:hAnsi="Garamond"/>
          <w:bCs/>
          <w:sz w:val="24"/>
        </w:rPr>
      </w:pPr>
      <w:r>
        <w:rPr>
          <w:rFonts w:ascii="Garamond" w:hAnsi="Garamond"/>
          <w:bCs/>
          <w:noProof/>
          <w:sz w:val="24"/>
        </w:rPr>
        <mc:AlternateContent>
          <mc:Choice Requires="wps">
            <w:drawing>
              <wp:anchor distT="0" distB="0" distL="114300" distR="114300" simplePos="0" relativeHeight="251728896" behindDoc="0" locked="0" layoutInCell="1" allowOverlap="1" wp14:anchorId="0B69AF1C" wp14:editId="3C57D8F5">
                <wp:simplePos x="0" y="0"/>
                <wp:positionH relativeFrom="column">
                  <wp:posOffset>1089498</wp:posOffset>
                </wp:positionH>
                <wp:positionV relativeFrom="paragraph">
                  <wp:posOffset>1047574</wp:posOffset>
                </wp:positionV>
                <wp:extent cx="359099" cy="77821"/>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59099" cy="77821"/>
                        </a:xfrm>
                        <a:prstGeom prst="rect">
                          <a:avLst/>
                        </a:prstGeom>
                        <a:solidFill>
                          <a:schemeClr val="lt1"/>
                        </a:solidFill>
                        <a:ln w="6350">
                          <a:noFill/>
                        </a:ln>
                      </wps:spPr>
                      <wps:txbx>
                        <w:txbxContent>
                          <w:p w14:paraId="45A596EF" w14:textId="26D1CBE5" w:rsidR="00A60BAB" w:rsidRPr="00B42802" w:rsidRDefault="00A60BAB" w:rsidP="00CA1704">
                            <w:pPr>
                              <w:rPr>
                                <w:sz w:val="16"/>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AF1C" id="Text Box 44" o:spid="_x0000_s1047" type="#_x0000_t202" style="position:absolute;left:0;text-align:left;margin-left:85.8pt;margin-top:82.5pt;width:28.3pt;height: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" fillcolor="white [3201]" stroked="f" strokeweight=".5pt">
                <v:textbox>
                  <w:txbxContent>
                    <w:p w14:paraId="45A596EF" w14:textId="26D1CBE5" w:rsidR="00A60BAB" w:rsidRPr="00B42802" w:rsidRDefault="00A60BAB" w:rsidP="00CA1704">
                      <w:pPr>
                        <w:rPr>
                          <w:sz w:val="16"/>
                          <w:szCs w:val="18"/>
                          <w:u w:val="single"/>
                        </w:rPr>
                      </w:pPr>
                    </w:p>
                  </w:txbxContent>
                </v:textbox>
              </v:shape>
            </w:pict>
          </mc:Fallback>
        </mc:AlternateContent>
      </w:r>
      <w:r w:rsidR="00FB042A">
        <w:rPr>
          <w:rFonts w:ascii="Garamond" w:hAnsi="Garamond"/>
          <w:bCs/>
          <w:noProof/>
          <w:sz w:val="24"/>
        </w:rPr>
        <mc:AlternateContent>
          <mc:Choice Requires="wps">
            <w:drawing>
              <wp:anchor distT="0" distB="0" distL="114300" distR="114300" simplePos="0" relativeHeight="251726848" behindDoc="0" locked="0" layoutInCell="1" allowOverlap="1" wp14:anchorId="56CA8B43" wp14:editId="08772A52">
                <wp:simplePos x="0" y="0"/>
                <wp:positionH relativeFrom="column">
                  <wp:posOffset>447472</wp:posOffset>
                </wp:positionH>
                <wp:positionV relativeFrom="paragraph">
                  <wp:posOffset>677923</wp:posOffset>
                </wp:positionV>
                <wp:extent cx="2743200" cy="223736"/>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2743200" cy="223736"/>
                        </a:xfrm>
                        <a:prstGeom prst="rect">
                          <a:avLst/>
                        </a:prstGeom>
                        <a:solidFill>
                          <a:schemeClr val="lt1"/>
                        </a:solidFill>
                        <a:ln w="6350">
                          <a:noFill/>
                        </a:ln>
                      </wps:spPr>
                      <wps:txbx>
                        <w:txbxContent>
                          <w:p w14:paraId="38D976AC" w14:textId="647E5F0B" w:rsidR="00A60BAB" w:rsidRPr="00B42802" w:rsidRDefault="00A60BAB" w:rsidP="00FB042A">
                            <w:pPr>
                              <w:rPr>
                                <w:sz w:val="16"/>
                                <w:szCs w:val="18"/>
                                <w:u w:val="single"/>
                              </w:rPr>
                            </w:pPr>
                            <w:r w:rsidRPr="00B42802">
                              <w:rPr>
                                <w:sz w:val="16"/>
                                <w:szCs w:val="18"/>
                                <w:u w:val="single"/>
                              </w:rPr>
                              <w:t xml:space="preserve">Compare Contract Details tab to </w:t>
                            </w:r>
                            <w:r>
                              <w:rPr>
                                <w:sz w:val="16"/>
                                <w:szCs w:val="18"/>
                                <w:u w:val="single"/>
                              </w:rPr>
                              <w:t>Contract</w:t>
                            </w:r>
                            <w:r w:rsidRPr="00B42802">
                              <w:rPr>
                                <w:sz w:val="16"/>
                                <w:szCs w:val="18"/>
                                <w:u w:val="single"/>
                              </w:rPr>
                              <w:t xml:space="preserve">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A8B43" id="Text Box 42" o:spid="_x0000_s1048" type="#_x0000_t202" style="position:absolute;left:0;text-align:left;margin-left:35.25pt;margin-top:53.4pt;width:3in;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" fillcolor="white [3201]" stroked="f" strokeweight=".5pt">
                <v:textbox>
                  <w:txbxContent>
                    <w:p w14:paraId="38D976AC" w14:textId="647E5F0B" w:rsidR="00A60BAB" w:rsidRPr="00B42802" w:rsidRDefault="00A60BAB" w:rsidP="00FB042A">
                      <w:pPr>
                        <w:rPr>
                          <w:sz w:val="16"/>
                          <w:szCs w:val="18"/>
                          <w:u w:val="single"/>
                        </w:rPr>
                      </w:pPr>
                      <w:r w:rsidRPr="00B42802">
                        <w:rPr>
                          <w:sz w:val="16"/>
                          <w:szCs w:val="18"/>
                          <w:u w:val="single"/>
                        </w:rPr>
                        <w:t xml:space="preserve">Compare Contract Details tab to </w:t>
                      </w:r>
                      <w:r>
                        <w:rPr>
                          <w:sz w:val="16"/>
                          <w:szCs w:val="18"/>
                          <w:u w:val="single"/>
                        </w:rPr>
                        <w:t>Contract</w:t>
                      </w:r>
                      <w:r w:rsidRPr="00B42802">
                        <w:rPr>
                          <w:sz w:val="16"/>
                          <w:szCs w:val="18"/>
                          <w:u w:val="single"/>
                        </w:rPr>
                        <w:t xml:space="preserve"> to confirm:</w:t>
                      </w:r>
                    </w:p>
                  </w:txbxContent>
                </v:textbox>
              </v:shape>
            </w:pict>
          </mc:Fallback>
        </mc:AlternateContent>
      </w:r>
      <w:r w:rsidR="00FB042A">
        <w:rPr>
          <w:rFonts w:ascii="Garamond" w:hAnsi="Garamond"/>
          <w:bCs/>
          <w:noProof/>
          <w:sz w:val="24"/>
        </w:rPr>
        <mc:AlternateContent>
          <mc:Choice Requires="wps">
            <w:drawing>
              <wp:anchor distT="0" distB="0" distL="114300" distR="114300" simplePos="0" relativeHeight="251724800" behindDoc="0" locked="0" layoutInCell="1" allowOverlap="1" wp14:anchorId="36253BA9" wp14:editId="6C53CC4A">
                <wp:simplePos x="0" y="0"/>
                <wp:positionH relativeFrom="column">
                  <wp:posOffset>2247049</wp:posOffset>
                </wp:positionH>
                <wp:positionV relativeFrom="paragraph">
                  <wp:posOffset>3781020</wp:posOffset>
                </wp:positionV>
                <wp:extent cx="3647872" cy="282102"/>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647872" cy="282102"/>
                        </a:xfrm>
                        <a:prstGeom prst="rect">
                          <a:avLst/>
                        </a:prstGeom>
                        <a:solidFill>
                          <a:schemeClr val="lt1"/>
                        </a:solidFill>
                        <a:ln w="6350">
                          <a:noFill/>
                        </a:ln>
                      </wps:spPr>
                      <wps:txbx>
                        <w:txbxContent>
                          <w:p w14:paraId="01E2E70D" w14:textId="77777777" w:rsidR="00A60BAB" w:rsidRPr="00B42802" w:rsidRDefault="00A60BAB" w:rsidP="00FB042A">
                            <w:pPr>
                              <w:rPr>
                                <w:sz w:val="16"/>
                                <w:szCs w:val="18"/>
                                <w:u w:val="single"/>
                              </w:rPr>
                            </w:pPr>
                            <w:r w:rsidRPr="00B42802">
                              <w:rPr>
                                <w:sz w:val="16"/>
                                <w:szCs w:val="18"/>
                                <w:u w:val="single"/>
                              </w:rPr>
                              <w:t>Compare Contract Details tab to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3BA9" id="Text Box 41" o:spid="_x0000_s1049" type="#_x0000_t202" style="position:absolute;left:0;text-align:left;margin-left:176.95pt;margin-top:297.7pt;width:287.25pt;height:2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" fillcolor="white [3201]" stroked="f" strokeweight=".5pt">
                <v:textbox>
                  <w:txbxContent>
                    <w:p w14:paraId="01E2E70D" w14:textId="77777777" w:rsidR="00A60BAB" w:rsidRPr="00B42802" w:rsidRDefault="00A60BAB" w:rsidP="00FB042A">
                      <w:pPr>
                        <w:rPr>
                          <w:sz w:val="16"/>
                          <w:szCs w:val="18"/>
                          <w:u w:val="single"/>
                        </w:rPr>
                      </w:pPr>
                      <w:r w:rsidRPr="00B42802">
                        <w:rPr>
                          <w:sz w:val="16"/>
                          <w:szCs w:val="18"/>
                          <w:u w:val="single"/>
                        </w:rPr>
                        <w:t>Compare Contract Details tab to WREGIS Compliance Reports to confirm:</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80768" behindDoc="0" locked="0" layoutInCell="1" allowOverlap="1" wp14:anchorId="7F4A280B" wp14:editId="69D1205E">
                <wp:simplePos x="0" y="0"/>
                <wp:positionH relativeFrom="column">
                  <wp:posOffset>2470407</wp:posOffset>
                </wp:positionH>
                <wp:positionV relativeFrom="paragraph">
                  <wp:posOffset>5524284</wp:posOffset>
                </wp:positionV>
                <wp:extent cx="1001449" cy="427936"/>
                <wp:effectExtent l="0" t="0" r="1905" b="4445"/>
                <wp:wrapNone/>
                <wp:docPr id="17" name="Text Box 17"/>
                <wp:cNvGraphicFramePr/>
                <a:graphic xmlns:a="http://schemas.openxmlformats.org/drawingml/2006/main">
                  <a:graphicData uri="http://schemas.microsoft.com/office/word/2010/wordprocessingShape">
                    <wps:wsp>
                      <wps:cNvSpPr txBox="1"/>
                      <wps:spPr>
                        <a:xfrm>
                          <a:off x="0" y="0"/>
                          <a:ext cx="1001449" cy="427936"/>
                        </a:xfrm>
                        <a:prstGeom prst="rect">
                          <a:avLst/>
                        </a:prstGeom>
                        <a:solidFill>
                          <a:schemeClr val="accent1">
                            <a:lumMod val="40000"/>
                            <a:lumOff val="60000"/>
                          </a:schemeClr>
                        </a:solidFill>
                        <a:ln w="6350">
                          <a:noFill/>
                        </a:ln>
                      </wps:spPr>
                      <wps:txbx>
                        <w:txbxContent>
                          <w:p w14:paraId="18AC45CE"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A280B" id="Text Box 17" o:spid="_x0000_s1050" type="#_x0000_t202" style="position:absolute;left:0;text-align:left;margin-left:194.5pt;margin-top:435pt;width:78.85pt;height:3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" fillcolor="#b8cce4 [1300]" stroked="f" strokeweight=".5pt">
                <v:textbox>
                  <w:txbxContent>
                    <w:p w14:paraId="18AC45CE"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78720" behindDoc="0" locked="0" layoutInCell="1" allowOverlap="1" wp14:anchorId="22147C57" wp14:editId="14444CFA">
                <wp:simplePos x="0" y="0"/>
                <wp:positionH relativeFrom="column">
                  <wp:posOffset>2467543</wp:posOffset>
                </wp:positionH>
                <wp:positionV relativeFrom="paragraph">
                  <wp:posOffset>2872902</wp:posOffset>
                </wp:positionV>
                <wp:extent cx="1001449" cy="427936"/>
                <wp:effectExtent l="0" t="0" r="1905" b="4445"/>
                <wp:wrapNone/>
                <wp:docPr id="16" name="Text Box 16"/>
                <wp:cNvGraphicFramePr/>
                <a:graphic xmlns:a="http://schemas.openxmlformats.org/drawingml/2006/main">
                  <a:graphicData uri="http://schemas.microsoft.com/office/word/2010/wordprocessingShape">
                    <wps:wsp>
                      <wps:cNvSpPr txBox="1"/>
                      <wps:spPr>
                        <a:xfrm>
                          <a:off x="0" y="0"/>
                          <a:ext cx="1001449" cy="427936"/>
                        </a:xfrm>
                        <a:prstGeom prst="rect">
                          <a:avLst/>
                        </a:prstGeom>
                        <a:solidFill>
                          <a:schemeClr val="accent1">
                            <a:lumMod val="40000"/>
                            <a:lumOff val="60000"/>
                          </a:schemeClr>
                        </a:solidFill>
                        <a:ln w="6350">
                          <a:noFill/>
                        </a:ln>
                      </wps:spPr>
                      <wps:txbx>
                        <w:txbxContent>
                          <w:p w14:paraId="5ACDF07D"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47C57" id="Text Box 16" o:spid="_x0000_s1051" type="#_x0000_t202" style="position:absolute;left:0;text-align:left;margin-left:194.3pt;margin-top:226.2pt;width:78.85pt;height:3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" fillcolor="#b8cce4 [1300]" stroked="f" strokeweight=".5pt">
                <v:textbox>
                  <w:txbxContent>
                    <w:p w14:paraId="5ACDF07D"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76672" behindDoc="0" locked="0" layoutInCell="1" allowOverlap="1" wp14:anchorId="532352F9" wp14:editId="37487739">
                <wp:simplePos x="0" y="0"/>
                <wp:positionH relativeFrom="column">
                  <wp:posOffset>2470785</wp:posOffset>
                </wp:positionH>
                <wp:positionV relativeFrom="paragraph">
                  <wp:posOffset>152400</wp:posOffset>
                </wp:positionV>
                <wp:extent cx="1001449" cy="427936"/>
                <wp:effectExtent l="0" t="0" r="1905" b="4445"/>
                <wp:wrapNone/>
                <wp:docPr id="13" name="Text Box 13"/>
                <wp:cNvGraphicFramePr/>
                <a:graphic xmlns:a="http://schemas.openxmlformats.org/drawingml/2006/main">
                  <a:graphicData uri="http://schemas.microsoft.com/office/word/2010/wordprocessingShape">
                    <wps:wsp>
                      <wps:cNvSpPr txBox="1"/>
                      <wps:spPr>
                        <a:xfrm>
                          <a:off x="0" y="0"/>
                          <a:ext cx="1001449" cy="427936"/>
                        </a:xfrm>
                        <a:prstGeom prst="rect">
                          <a:avLst/>
                        </a:prstGeom>
                        <a:solidFill>
                          <a:schemeClr val="accent1">
                            <a:lumMod val="40000"/>
                            <a:lumOff val="60000"/>
                          </a:schemeClr>
                        </a:solidFill>
                        <a:ln w="6350">
                          <a:noFill/>
                        </a:ln>
                      </wps:spPr>
                      <wps:txbx>
                        <w:txbxContent>
                          <w:p w14:paraId="0D9BB843"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52F9" id="Text Box 13" o:spid="_x0000_s1052" type="#_x0000_t202" style="position:absolute;left:0;text-align:left;margin-left:194.55pt;margin-top:12pt;width:78.85pt;height:3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" fillcolor="#b8cce4 [1300]" stroked="f" strokeweight=".5pt">
                <v:textbox>
                  <w:txbxContent>
                    <w:p w14:paraId="0D9BB843"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2671B1ED" wp14:editId="72C3A4CA">
            <wp:extent cx="5050155" cy="600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0155" cy="6007100"/>
                    </a:xfrm>
                    <a:prstGeom prst="rect">
                      <a:avLst/>
                    </a:prstGeom>
                    <a:noFill/>
                    <a:ln>
                      <a:noFill/>
                    </a:ln>
                  </pic:spPr>
                </pic:pic>
              </a:graphicData>
            </a:graphic>
          </wp:inline>
        </w:drawing>
      </w:r>
    </w:p>
    <w:p w14:paraId="3C66B893" w14:textId="16E42E83" w:rsidR="00C25DC3" w:rsidRPr="0080220E" w:rsidRDefault="00C25DC3" w:rsidP="00C25DC3">
      <w:pPr>
        <w:tabs>
          <w:tab w:val="clear" w:pos="360"/>
        </w:tabs>
        <w:suppressAutoHyphens w:val="0"/>
        <w:spacing w:after="120"/>
        <w:jc w:val="center"/>
        <w:rPr>
          <w:rFonts w:ascii="Garamond" w:hAnsi="Garamond"/>
          <w:bCs/>
          <w:sz w:val="24"/>
        </w:rPr>
      </w:pPr>
    </w:p>
    <w:p w14:paraId="4BC3C66E" w14:textId="7C16497D" w:rsidR="00C25DC3" w:rsidRPr="00FC0D23" w:rsidRDefault="00C25DC3" w:rsidP="00DA353D">
      <w:pPr>
        <w:pStyle w:val="Heading2"/>
      </w:pPr>
      <w:bookmarkStart w:id="35" w:name="_Toc40196446"/>
      <w:r w:rsidRPr="00FC0D23">
        <w:lastRenderedPageBreak/>
        <w:t>Requirements to Substantiate PCC 3 Claims</w:t>
      </w:r>
      <w:bookmarkEnd w:id="35"/>
    </w:p>
    <w:p w14:paraId="30A03A6F" w14:textId="782C76CC" w:rsidR="00C25DC3" w:rsidRPr="0080220E" w:rsidRDefault="00C25DC3" w:rsidP="00C25DC3">
      <w:pPr>
        <w:spacing w:after="120"/>
        <w:rPr>
          <w:rFonts w:ascii="Garamond" w:hAnsi="Garamond" w:cs="Arial"/>
          <w:bCs/>
          <w:sz w:val="24"/>
        </w:rPr>
      </w:pPr>
      <w:r w:rsidRPr="0080220E">
        <w:rPr>
          <w:rFonts w:ascii="Garamond" w:hAnsi="Garamond" w:cs="Arial"/>
          <w:bCs/>
          <w:sz w:val="24"/>
        </w:rPr>
        <w:t>Substantiation of PCC 3 claims will require the review of procurement contract or ownership agreement to verify the date of execution, and the date/terms of contract amendments or modifications, including the purchase of RECs and the total amount of RECs purchased.</w:t>
      </w:r>
    </w:p>
    <w:p w14:paraId="0DEE9150" w14:textId="67DA88D9" w:rsidR="00C25DC3" w:rsidRPr="00DA353D" w:rsidRDefault="00C25DC3" w:rsidP="00C25DC3">
      <w:pPr>
        <w:pStyle w:val="Default"/>
        <w:spacing w:after="120"/>
        <w:rPr>
          <w:rFonts w:ascii="Garamond" w:hAnsi="Garamond"/>
          <w:bCs/>
          <w:color w:val="auto"/>
        </w:rPr>
      </w:pPr>
      <w:r w:rsidRPr="00DA353D">
        <w:rPr>
          <w:rFonts w:ascii="Garamond" w:hAnsi="Garamond"/>
          <w:bCs/>
          <w:color w:val="auto"/>
        </w:rPr>
        <w:t>Table III.E. Energy Division Process for Reviewing Required Documents for PCC 3 Claims</w:t>
      </w:r>
    </w:p>
    <w:p w14:paraId="14496D80" w14:textId="71DA4DA7" w:rsidR="00C25DC3" w:rsidRPr="0080220E" w:rsidRDefault="00CA1704" w:rsidP="00C25DC3">
      <w:pPr>
        <w:spacing w:after="120"/>
        <w:jc w:val="center"/>
        <w:rPr>
          <w:rFonts w:ascii="Garamond" w:hAnsi="Garamond"/>
          <w:bCs/>
          <w:sz w:val="24"/>
        </w:rPr>
      </w:pPr>
      <w:r>
        <w:rPr>
          <w:rFonts w:ascii="Garamond" w:hAnsi="Garamond"/>
          <w:bCs/>
          <w:noProof/>
          <w:sz w:val="24"/>
        </w:rPr>
        <mc:AlternateContent>
          <mc:Choice Requires="wps">
            <w:drawing>
              <wp:anchor distT="0" distB="0" distL="114300" distR="114300" simplePos="0" relativeHeight="251732992" behindDoc="0" locked="0" layoutInCell="1" allowOverlap="1" wp14:anchorId="2CE7654C" wp14:editId="0B8DFE2D">
                <wp:simplePos x="0" y="0"/>
                <wp:positionH relativeFrom="column">
                  <wp:posOffset>2071505</wp:posOffset>
                </wp:positionH>
                <wp:positionV relativeFrom="paragraph">
                  <wp:posOffset>3452049</wp:posOffset>
                </wp:positionV>
                <wp:extent cx="3647872" cy="282102"/>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647872" cy="282102"/>
                        </a:xfrm>
                        <a:prstGeom prst="rect">
                          <a:avLst/>
                        </a:prstGeom>
                        <a:solidFill>
                          <a:schemeClr val="lt1"/>
                        </a:solidFill>
                        <a:ln w="6350">
                          <a:noFill/>
                        </a:ln>
                      </wps:spPr>
                      <wps:txbx>
                        <w:txbxContent>
                          <w:p w14:paraId="45E0043B" w14:textId="77777777" w:rsidR="00A60BAB" w:rsidRPr="00B42802" w:rsidRDefault="00A60BAB" w:rsidP="00CA1704">
                            <w:pPr>
                              <w:rPr>
                                <w:sz w:val="16"/>
                                <w:szCs w:val="18"/>
                                <w:u w:val="single"/>
                              </w:rPr>
                            </w:pPr>
                            <w:r w:rsidRPr="00B42802">
                              <w:rPr>
                                <w:sz w:val="16"/>
                                <w:szCs w:val="18"/>
                                <w:u w:val="single"/>
                              </w:rPr>
                              <w:t>Compare Contract Details tab to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654C" id="Text Box 46" o:spid="_x0000_s1053" type="#_x0000_t202" style="position:absolute;left:0;text-align:left;margin-left:163.1pt;margin-top:271.8pt;width:287.25pt;height:2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" fillcolor="white [3201]" stroked="f" strokeweight=".5pt">
                <v:textbox>
                  <w:txbxContent>
                    <w:p w14:paraId="45E0043B" w14:textId="77777777" w:rsidR="00A60BAB" w:rsidRPr="00B42802" w:rsidRDefault="00A60BAB" w:rsidP="00CA1704">
                      <w:pPr>
                        <w:rPr>
                          <w:sz w:val="16"/>
                          <w:szCs w:val="18"/>
                          <w:u w:val="single"/>
                        </w:rPr>
                      </w:pPr>
                      <w:r w:rsidRPr="00B42802">
                        <w:rPr>
                          <w:sz w:val="16"/>
                          <w:szCs w:val="18"/>
                          <w:u w:val="single"/>
                        </w:rPr>
                        <w:t>Compare Contract Details tab to WREGIS Compliance Reports to confirm:</w:t>
                      </w:r>
                    </w:p>
                  </w:txbxContent>
                </v:textbox>
              </v:shape>
            </w:pict>
          </mc:Fallback>
        </mc:AlternateContent>
      </w:r>
      <w:r>
        <w:rPr>
          <w:rFonts w:ascii="Garamond" w:hAnsi="Garamond"/>
          <w:bCs/>
          <w:noProof/>
          <w:sz w:val="24"/>
        </w:rPr>
        <mc:AlternateContent>
          <mc:Choice Requires="wps">
            <w:drawing>
              <wp:anchor distT="0" distB="0" distL="114300" distR="114300" simplePos="0" relativeHeight="251730944" behindDoc="0" locked="0" layoutInCell="1" allowOverlap="1" wp14:anchorId="3006D69E" wp14:editId="53CB6DB0">
                <wp:simplePos x="0" y="0"/>
                <wp:positionH relativeFrom="column">
                  <wp:posOffset>398834</wp:posOffset>
                </wp:positionH>
                <wp:positionV relativeFrom="paragraph">
                  <wp:posOffset>698662</wp:posOffset>
                </wp:positionV>
                <wp:extent cx="3307134" cy="27237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307134" cy="272375"/>
                        </a:xfrm>
                        <a:prstGeom prst="rect">
                          <a:avLst/>
                        </a:prstGeom>
                        <a:solidFill>
                          <a:schemeClr val="lt1"/>
                        </a:solidFill>
                        <a:ln w="6350">
                          <a:noFill/>
                        </a:ln>
                      </wps:spPr>
                      <wps:txbx>
                        <w:txbxContent>
                          <w:p w14:paraId="2B55420D" w14:textId="77777777" w:rsidR="00A60BAB" w:rsidRPr="00CA1704" w:rsidRDefault="00A60BAB" w:rsidP="00CA1704">
                            <w:pPr>
                              <w:rPr>
                                <w:sz w:val="18"/>
                                <w:szCs w:val="20"/>
                                <w:u w:val="single"/>
                              </w:rPr>
                            </w:pPr>
                            <w:r w:rsidRPr="00CA1704">
                              <w:rPr>
                                <w:sz w:val="18"/>
                                <w:szCs w:val="20"/>
                                <w:u w:val="single"/>
                              </w:rPr>
                              <w:t>Compare Contract Details tab to Contract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6D69E" id="Text Box 45" o:spid="_x0000_s1054" type="#_x0000_t202" style="position:absolute;left:0;text-align:left;margin-left:31.4pt;margin-top:55pt;width:260.4pt;height:2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" fillcolor="white [3201]" stroked="f" strokeweight=".5pt">
                <v:textbox>
                  <w:txbxContent>
                    <w:p w14:paraId="2B55420D" w14:textId="77777777" w:rsidR="00A60BAB" w:rsidRPr="00CA1704" w:rsidRDefault="00A60BAB" w:rsidP="00CA1704">
                      <w:pPr>
                        <w:rPr>
                          <w:sz w:val="18"/>
                          <w:szCs w:val="20"/>
                          <w:u w:val="single"/>
                        </w:rPr>
                      </w:pPr>
                      <w:r w:rsidRPr="00CA1704">
                        <w:rPr>
                          <w:sz w:val="18"/>
                          <w:szCs w:val="20"/>
                          <w:u w:val="single"/>
                        </w:rPr>
                        <w:t>Compare Contract Details tab to Contract to confirm:</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86912" behindDoc="0" locked="0" layoutInCell="1" allowOverlap="1" wp14:anchorId="3C66110F" wp14:editId="0E4AC8D4">
                <wp:simplePos x="0" y="0"/>
                <wp:positionH relativeFrom="column">
                  <wp:posOffset>2169268</wp:posOffset>
                </wp:positionH>
                <wp:positionV relativeFrom="paragraph">
                  <wp:posOffset>5231751</wp:posOffset>
                </wp:positionV>
                <wp:extent cx="1604645" cy="427936"/>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1604645" cy="427936"/>
                        </a:xfrm>
                        <a:prstGeom prst="rect">
                          <a:avLst/>
                        </a:prstGeom>
                        <a:solidFill>
                          <a:schemeClr val="accent1">
                            <a:lumMod val="40000"/>
                            <a:lumOff val="60000"/>
                          </a:schemeClr>
                        </a:solidFill>
                        <a:ln w="6350">
                          <a:noFill/>
                        </a:ln>
                      </wps:spPr>
                      <wps:txbx>
                        <w:txbxContent>
                          <w:p w14:paraId="19EF75BC"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6110F" id="Text Box 20" o:spid="_x0000_s1055" type="#_x0000_t202" style="position:absolute;left:0;text-align:left;margin-left:170.8pt;margin-top:411.95pt;width:126.35pt;height:3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" fillcolor="#b8cce4 [1300]" stroked="f" strokeweight=".5pt">
                <v:textbox>
                  <w:txbxContent>
                    <w:p w14:paraId="19EF75BC"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84864" behindDoc="0" locked="0" layoutInCell="1" allowOverlap="1" wp14:anchorId="6BFFC07F" wp14:editId="65EC881D">
                <wp:simplePos x="0" y="0"/>
                <wp:positionH relativeFrom="column">
                  <wp:posOffset>2169268</wp:posOffset>
                </wp:positionH>
                <wp:positionV relativeFrom="paragraph">
                  <wp:posOffset>2401004</wp:posOffset>
                </wp:positionV>
                <wp:extent cx="1605064" cy="32101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05064" cy="321012"/>
                        </a:xfrm>
                        <a:prstGeom prst="rect">
                          <a:avLst/>
                        </a:prstGeom>
                        <a:solidFill>
                          <a:schemeClr val="accent1">
                            <a:lumMod val="40000"/>
                            <a:lumOff val="60000"/>
                          </a:schemeClr>
                        </a:solidFill>
                        <a:ln w="6350">
                          <a:noFill/>
                        </a:ln>
                      </wps:spPr>
                      <wps:txbx>
                        <w:txbxContent>
                          <w:p w14:paraId="37C804D4"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C07F" id="Text Box 19" o:spid="_x0000_s1056" type="#_x0000_t202" style="position:absolute;left:0;text-align:left;margin-left:170.8pt;margin-top:189.05pt;width:126.4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" fillcolor="#b8cce4 [1300]" stroked="f" strokeweight=".5pt">
                <v:textbox>
                  <w:txbxContent>
                    <w:p w14:paraId="37C804D4"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A19EC">
        <w:rPr>
          <w:rFonts w:ascii="Garamond" w:hAnsi="Garamond"/>
          <w:bCs/>
          <w:noProof/>
          <w:sz w:val="24"/>
        </w:rPr>
        <mc:AlternateContent>
          <mc:Choice Requires="wps">
            <w:drawing>
              <wp:anchor distT="0" distB="0" distL="114300" distR="114300" simplePos="0" relativeHeight="251682816" behindDoc="0" locked="0" layoutInCell="1" allowOverlap="1" wp14:anchorId="5D36DF46" wp14:editId="7662BAA3">
                <wp:simplePos x="0" y="0"/>
                <wp:positionH relativeFrom="column">
                  <wp:posOffset>2169160</wp:posOffset>
                </wp:positionH>
                <wp:positionV relativeFrom="paragraph">
                  <wp:posOffset>212144</wp:posOffset>
                </wp:positionV>
                <wp:extent cx="1536970" cy="427936"/>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1536970" cy="427936"/>
                        </a:xfrm>
                        <a:prstGeom prst="rect">
                          <a:avLst/>
                        </a:prstGeom>
                        <a:solidFill>
                          <a:schemeClr val="accent1">
                            <a:lumMod val="40000"/>
                            <a:lumOff val="60000"/>
                          </a:schemeClr>
                        </a:solidFill>
                        <a:ln w="6350">
                          <a:noFill/>
                        </a:ln>
                      </wps:spPr>
                      <wps:txbx>
                        <w:txbxContent>
                          <w:p w14:paraId="50EE4B3D" w14:textId="77777777" w:rsidR="00A60BAB" w:rsidRPr="00CA19EC" w:rsidRDefault="00A60BAB" w:rsidP="00CA19E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6DF46" id="Text Box 18" o:spid="_x0000_s1057" type="#_x0000_t202" style="position:absolute;left:0;text-align:left;margin-left:170.8pt;margin-top:16.7pt;width:121pt;height:3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" fillcolor="#b8cce4 [1300]" stroked="f" strokeweight=".5pt">
                <v:textbox>
                  <w:txbxContent>
                    <w:p w14:paraId="50EE4B3D" w14:textId="77777777" w:rsidR="00A60BAB" w:rsidRPr="00CA19EC" w:rsidRDefault="00A60BAB" w:rsidP="00CA19EC">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5695D577" wp14:editId="1AC44C12">
            <wp:extent cx="5165332" cy="572179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8578" cy="5725385"/>
                    </a:xfrm>
                    <a:prstGeom prst="rect">
                      <a:avLst/>
                    </a:prstGeom>
                    <a:noFill/>
                    <a:ln>
                      <a:noFill/>
                    </a:ln>
                  </pic:spPr>
                </pic:pic>
              </a:graphicData>
            </a:graphic>
          </wp:inline>
        </w:drawing>
      </w:r>
    </w:p>
    <w:p w14:paraId="5FFA8D42" w14:textId="02A498F2" w:rsidR="00C25DC3" w:rsidRPr="00DA353D" w:rsidRDefault="00C25DC3" w:rsidP="00DA353D">
      <w:pPr>
        <w:pStyle w:val="Heading2"/>
      </w:pPr>
      <w:r w:rsidRPr="00FC0D23">
        <w:br w:type="page"/>
      </w:r>
      <w:r w:rsidRPr="00FC0D23">
        <w:lastRenderedPageBreak/>
        <w:t xml:space="preserve"> </w:t>
      </w:r>
      <w:bookmarkStart w:id="36" w:name="_Toc40196447"/>
      <w:r w:rsidRPr="00FC0D23">
        <w:t>Requirements to Substantiate PCC 0 Claims</w:t>
      </w:r>
      <w:bookmarkEnd w:id="36"/>
      <w:r w:rsidRPr="00DA353D">
        <w:t xml:space="preserve"> </w:t>
      </w:r>
    </w:p>
    <w:p w14:paraId="2A09FAF0" w14:textId="26682375" w:rsidR="00C25DC3" w:rsidRPr="0080220E" w:rsidRDefault="00C25DC3" w:rsidP="00C25DC3">
      <w:pPr>
        <w:tabs>
          <w:tab w:val="left" w:pos="0"/>
        </w:tabs>
        <w:spacing w:after="120"/>
        <w:rPr>
          <w:rFonts w:ascii="Garamond" w:hAnsi="Garamond" w:cs="Arial"/>
          <w:bCs/>
          <w:sz w:val="24"/>
        </w:rPr>
      </w:pPr>
      <w:r w:rsidRPr="0080220E">
        <w:rPr>
          <w:rFonts w:ascii="Garamond" w:hAnsi="Garamond" w:cs="Arial"/>
          <w:bCs/>
          <w:sz w:val="24"/>
        </w:rPr>
        <w:t>Verification of PCC 0 claims will include a review of the contract/ownership agreement to verify the date of execution, the date/terms of contract amendments or modifications, that the RPS-facility met the Energy Commission’s certification rules that were in place at the time</w:t>
      </w:r>
      <w:r w:rsidR="005A56B0" w:rsidRPr="0080220E">
        <w:rPr>
          <w:rFonts w:ascii="Garamond" w:hAnsi="Garamond" w:cs="Arial"/>
          <w:bCs/>
          <w:sz w:val="24"/>
        </w:rPr>
        <w:t>,</w:t>
      </w:r>
      <w:r w:rsidRPr="0080220E">
        <w:rPr>
          <w:rFonts w:ascii="Garamond" w:hAnsi="Garamond" w:cs="Arial"/>
          <w:bCs/>
          <w:sz w:val="24"/>
        </w:rPr>
        <w:t xml:space="preserve"> and other information as determined necessary. </w:t>
      </w:r>
    </w:p>
    <w:p w14:paraId="5BEC9A7C" w14:textId="431E617C" w:rsidR="00C25DC3" w:rsidRPr="0080220E" w:rsidRDefault="00C25DC3" w:rsidP="00C25DC3">
      <w:pPr>
        <w:tabs>
          <w:tab w:val="left" w:pos="0"/>
        </w:tabs>
        <w:spacing w:after="120"/>
        <w:rPr>
          <w:rFonts w:ascii="Garamond" w:hAnsi="Garamond" w:cs="Arial"/>
          <w:bCs/>
          <w:sz w:val="24"/>
        </w:rPr>
      </w:pPr>
      <w:r w:rsidRPr="0080220E">
        <w:rPr>
          <w:rFonts w:ascii="Garamond" w:hAnsi="Garamond" w:cs="Arial"/>
          <w:bCs/>
          <w:sz w:val="24"/>
        </w:rPr>
        <w:t>All contractual information for PCC 0 REC claims must be reported in the “</w:t>
      </w:r>
      <w:r w:rsidR="005A56B0" w:rsidRPr="0080220E">
        <w:rPr>
          <w:rFonts w:ascii="Garamond" w:hAnsi="Garamond" w:cs="Arial"/>
          <w:bCs/>
          <w:sz w:val="24"/>
        </w:rPr>
        <w:t>Contract Details</w:t>
      </w:r>
      <w:r w:rsidRPr="0080220E">
        <w:rPr>
          <w:rFonts w:ascii="Garamond" w:hAnsi="Garamond" w:cs="Arial"/>
          <w:bCs/>
          <w:sz w:val="24"/>
        </w:rPr>
        <w:t xml:space="preserve">” tab in the Annual </w:t>
      </w:r>
      <w:r w:rsidR="005A56B0" w:rsidRPr="0080220E">
        <w:rPr>
          <w:rFonts w:ascii="Garamond" w:hAnsi="Garamond" w:cs="Arial"/>
          <w:bCs/>
          <w:sz w:val="24"/>
        </w:rPr>
        <w:t xml:space="preserve">and Final </w:t>
      </w:r>
      <w:r w:rsidRPr="0080220E">
        <w:rPr>
          <w:rFonts w:ascii="Garamond" w:hAnsi="Garamond" w:cs="Arial"/>
          <w:bCs/>
          <w:sz w:val="24"/>
        </w:rPr>
        <w:t xml:space="preserve">RPS Compliance Report spreadsheet and supported with a copy of the executed contract.  </w:t>
      </w:r>
    </w:p>
    <w:p w14:paraId="1EEF63F6" w14:textId="3FAC2781" w:rsidR="00C25DC3" w:rsidRPr="0080220E" w:rsidRDefault="00C25DC3" w:rsidP="00C25DC3">
      <w:pPr>
        <w:tabs>
          <w:tab w:val="left" w:pos="0"/>
        </w:tabs>
        <w:spacing w:after="0"/>
        <w:rPr>
          <w:rFonts w:ascii="Garamond" w:hAnsi="Garamond"/>
          <w:bCs/>
          <w:sz w:val="24"/>
        </w:rPr>
      </w:pPr>
    </w:p>
    <w:p w14:paraId="60DA90D5" w14:textId="5DD4FE98" w:rsidR="00C25DC3" w:rsidRPr="00DA353D" w:rsidRDefault="00C25DC3" w:rsidP="00C25DC3">
      <w:pPr>
        <w:pStyle w:val="Default"/>
        <w:spacing w:after="120"/>
        <w:rPr>
          <w:rFonts w:ascii="Garamond" w:hAnsi="Garamond"/>
          <w:bCs/>
          <w:color w:val="auto"/>
        </w:rPr>
      </w:pPr>
      <w:r w:rsidRPr="00DA353D">
        <w:rPr>
          <w:rFonts w:ascii="Garamond" w:hAnsi="Garamond"/>
          <w:bCs/>
          <w:color w:val="auto"/>
        </w:rPr>
        <w:t>Table III.F. Energy Division Process for Reviewing Required Documents for PCC 0 Claims</w:t>
      </w:r>
    </w:p>
    <w:p w14:paraId="3BF32B9F" w14:textId="3F30EFCF" w:rsidR="00C25DC3" w:rsidRPr="0080220E" w:rsidRDefault="003B4DBC" w:rsidP="00C25DC3">
      <w:pPr>
        <w:spacing w:after="120"/>
        <w:jc w:val="center"/>
        <w:rPr>
          <w:rFonts w:ascii="Garamond" w:hAnsi="Garamond"/>
          <w:bCs/>
          <w:sz w:val="24"/>
        </w:rPr>
      </w:pPr>
      <w:r>
        <w:rPr>
          <w:rFonts w:ascii="Garamond" w:hAnsi="Garamond"/>
          <w:bCs/>
          <w:noProof/>
          <w:sz w:val="24"/>
        </w:rPr>
        <mc:AlternateContent>
          <mc:Choice Requires="wps">
            <w:drawing>
              <wp:anchor distT="0" distB="0" distL="114300" distR="114300" simplePos="0" relativeHeight="251739136" behindDoc="0" locked="0" layoutInCell="1" allowOverlap="1" wp14:anchorId="536CAB98" wp14:editId="379C7722">
                <wp:simplePos x="0" y="0"/>
                <wp:positionH relativeFrom="column">
                  <wp:posOffset>3239311</wp:posOffset>
                </wp:positionH>
                <wp:positionV relativeFrom="paragraph">
                  <wp:posOffset>942259</wp:posOffset>
                </wp:positionV>
                <wp:extent cx="524874" cy="126298"/>
                <wp:effectExtent l="0" t="0" r="0" b="1270"/>
                <wp:wrapNone/>
                <wp:docPr id="49" name="Text Box 49"/>
                <wp:cNvGraphicFramePr/>
                <a:graphic xmlns:a="http://schemas.openxmlformats.org/drawingml/2006/main">
                  <a:graphicData uri="http://schemas.microsoft.com/office/word/2010/wordprocessingShape">
                    <wps:wsp>
                      <wps:cNvSpPr txBox="1"/>
                      <wps:spPr>
                        <a:xfrm>
                          <a:off x="0" y="0"/>
                          <a:ext cx="524874" cy="126298"/>
                        </a:xfrm>
                        <a:prstGeom prst="rect">
                          <a:avLst/>
                        </a:prstGeom>
                        <a:solidFill>
                          <a:schemeClr val="lt1"/>
                        </a:solidFill>
                        <a:ln w="6350">
                          <a:noFill/>
                        </a:ln>
                      </wps:spPr>
                      <wps:txbx>
                        <w:txbxContent>
                          <w:p w14:paraId="4796AA5F" w14:textId="4AED7BD7" w:rsidR="00A60BAB" w:rsidRPr="00B42802" w:rsidRDefault="00A60BAB" w:rsidP="003B4DBC">
                            <w:pPr>
                              <w:rPr>
                                <w:sz w:val="16"/>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AB98" id="Text Box 49" o:spid="_x0000_s1058" type="#_x0000_t202" style="position:absolute;left:0;text-align:left;margin-left:255.05pt;margin-top:74.2pt;width:41.35pt;height:9.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" fillcolor="white [3201]" stroked="f" strokeweight=".5pt">
                <v:textbox>
                  <w:txbxContent>
                    <w:p w14:paraId="4796AA5F" w14:textId="4AED7BD7" w:rsidR="00A60BAB" w:rsidRPr="00B42802" w:rsidRDefault="00A60BAB" w:rsidP="003B4DBC">
                      <w:pPr>
                        <w:rPr>
                          <w:sz w:val="16"/>
                          <w:szCs w:val="18"/>
                          <w:u w:val="single"/>
                        </w:rPr>
                      </w:pPr>
                    </w:p>
                  </w:txbxContent>
                </v:textbox>
              </v:shape>
            </w:pict>
          </mc:Fallback>
        </mc:AlternateContent>
      </w:r>
      <w:r>
        <w:rPr>
          <w:rFonts w:ascii="Garamond" w:hAnsi="Garamond"/>
          <w:bCs/>
          <w:noProof/>
          <w:sz w:val="24"/>
        </w:rPr>
        <mc:AlternateContent>
          <mc:Choice Requires="wps">
            <w:drawing>
              <wp:anchor distT="0" distB="0" distL="114300" distR="114300" simplePos="0" relativeHeight="251737088" behindDoc="0" locked="0" layoutInCell="1" allowOverlap="1" wp14:anchorId="5B756D2D" wp14:editId="4DFF7C46">
                <wp:simplePos x="0" y="0"/>
                <wp:positionH relativeFrom="column">
                  <wp:posOffset>418289</wp:posOffset>
                </wp:positionH>
                <wp:positionV relativeFrom="paragraph">
                  <wp:posOffset>660157</wp:posOffset>
                </wp:positionV>
                <wp:extent cx="3345842" cy="282102"/>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345842" cy="282102"/>
                        </a:xfrm>
                        <a:prstGeom prst="rect">
                          <a:avLst/>
                        </a:prstGeom>
                        <a:solidFill>
                          <a:schemeClr val="lt1"/>
                        </a:solidFill>
                        <a:ln w="6350">
                          <a:noFill/>
                        </a:ln>
                      </wps:spPr>
                      <wps:txbx>
                        <w:txbxContent>
                          <w:p w14:paraId="4A31D3B9" w14:textId="345ACF6B" w:rsidR="00A60BAB" w:rsidRPr="00B42802" w:rsidRDefault="00A60BAB" w:rsidP="003B4DBC">
                            <w:pPr>
                              <w:rPr>
                                <w:sz w:val="16"/>
                                <w:szCs w:val="18"/>
                                <w:u w:val="single"/>
                              </w:rPr>
                            </w:pPr>
                            <w:r w:rsidRPr="00B42802">
                              <w:rPr>
                                <w:sz w:val="16"/>
                                <w:szCs w:val="18"/>
                                <w:u w:val="single"/>
                              </w:rPr>
                              <w:t xml:space="preserve">Compare Contract Details tab to </w:t>
                            </w:r>
                            <w:r>
                              <w:rPr>
                                <w:sz w:val="16"/>
                                <w:szCs w:val="18"/>
                                <w:u w:val="single"/>
                              </w:rPr>
                              <w:t>Contract</w:t>
                            </w:r>
                            <w:r w:rsidRPr="00B42802">
                              <w:rPr>
                                <w:sz w:val="16"/>
                                <w:szCs w:val="18"/>
                                <w:u w:val="single"/>
                              </w:rPr>
                              <w:t xml:space="preserve">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6D2D" id="Text Box 48" o:spid="_x0000_s1059" type="#_x0000_t202" style="position:absolute;left:0;text-align:left;margin-left:32.95pt;margin-top:52pt;width:263.45pt;height:2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" fillcolor="white [3201]" stroked="f" strokeweight=".5pt">
                <v:textbox>
                  <w:txbxContent>
                    <w:p w14:paraId="4A31D3B9" w14:textId="345ACF6B" w:rsidR="00A60BAB" w:rsidRPr="00B42802" w:rsidRDefault="00A60BAB" w:rsidP="003B4DBC">
                      <w:pPr>
                        <w:rPr>
                          <w:sz w:val="16"/>
                          <w:szCs w:val="18"/>
                          <w:u w:val="single"/>
                        </w:rPr>
                      </w:pPr>
                      <w:r w:rsidRPr="00B42802">
                        <w:rPr>
                          <w:sz w:val="16"/>
                          <w:szCs w:val="18"/>
                          <w:u w:val="single"/>
                        </w:rPr>
                        <w:t xml:space="preserve">Compare Contract Details tab to </w:t>
                      </w:r>
                      <w:r>
                        <w:rPr>
                          <w:sz w:val="16"/>
                          <w:szCs w:val="18"/>
                          <w:u w:val="single"/>
                        </w:rPr>
                        <w:t>Contract</w:t>
                      </w:r>
                      <w:r w:rsidRPr="00B42802">
                        <w:rPr>
                          <w:sz w:val="16"/>
                          <w:szCs w:val="18"/>
                          <w:u w:val="single"/>
                        </w:rPr>
                        <w:t xml:space="preserve"> to confirm:</w:t>
                      </w:r>
                    </w:p>
                  </w:txbxContent>
                </v:textbox>
              </v:shape>
            </w:pict>
          </mc:Fallback>
        </mc:AlternateContent>
      </w:r>
      <w:r>
        <w:rPr>
          <w:rFonts w:ascii="Garamond" w:hAnsi="Garamond"/>
          <w:bCs/>
          <w:noProof/>
          <w:sz w:val="24"/>
        </w:rPr>
        <mc:AlternateContent>
          <mc:Choice Requires="wps">
            <w:drawing>
              <wp:anchor distT="0" distB="0" distL="114300" distR="114300" simplePos="0" relativeHeight="251735040" behindDoc="0" locked="0" layoutInCell="1" allowOverlap="1" wp14:anchorId="7BD873EC" wp14:editId="3C4D4582">
                <wp:simplePos x="0" y="0"/>
                <wp:positionH relativeFrom="column">
                  <wp:posOffset>2013085</wp:posOffset>
                </wp:positionH>
                <wp:positionV relativeFrom="paragraph">
                  <wp:posOffset>3414395</wp:posOffset>
                </wp:positionV>
                <wp:extent cx="3647872" cy="282102"/>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647872" cy="282102"/>
                        </a:xfrm>
                        <a:prstGeom prst="rect">
                          <a:avLst/>
                        </a:prstGeom>
                        <a:solidFill>
                          <a:schemeClr val="lt1"/>
                        </a:solidFill>
                        <a:ln w="6350">
                          <a:noFill/>
                        </a:ln>
                      </wps:spPr>
                      <wps:txbx>
                        <w:txbxContent>
                          <w:p w14:paraId="5CDAC38F" w14:textId="77777777" w:rsidR="00A60BAB" w:rsidRPr="00B42802" w:rsidRDefault="00A60BAB" w:rsidP="003B4DBC">
                            <w:pPr>
                              <w:rPr>
                                <w:sz w:val="16"/>
                                <w:szCs w:val="18"/>
                                <w:u w:val="single"/>
                              </w:rPr>
                            </w:pPr>
                            <w:r w:rsidRPr="00B42802">
                              <w:rPr>
                                <w:sz w:val="16"/>
                                <w:szCs w:val="18"/>
                                <w:u w:val="single"/>
                              </w:rPr>
                              <w:t>Compare Contract Details tab to WREGIS Compliance Reports to confirm: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73EC" id="Text Box 47" o:spid="_x0000_s1060" type="#_x0000_t202" style="position:absolute;left:0;text-align:left;margin-left:158.5pt;margin-top:268.85pt;width:287.25pt;height:2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" fillcolor="white [3201]" stroked="f" strokeweight=".5pt">
                <v:textbox>
                  <w:txbxContent>
                    <w:p w14:paraId="5CDAC38F" w14:textId="77777777" w:rsidR="00A60BAB" w:rsidRPr="00B42802" w:rsidRDefault="00A60BAB" w:rsidP="003B4DBC">
                      <w:pPr>
                        <w:rPr>
                          <w:sz w:val="16"/>
                          <w:szCs w:val="18"/>
                          <w:u w:val="single"/>
                        </w:rPr>
                      </w:pPr>
                      <w:r w:rsidRPr="00B42802">
                        <w:rPr>
                          <w:sz w:val="16"/>
                          <w:szCs w:val="18"/>
                          <w:u w:val="single"/>
                        </w:rPr>
                        <w:t>Compare Contract Details tab to WREGIS Compliance Reports to confirm:</w:t>
                      </w:r>
                    </w:p>
                  </w:txbxContent>
                </v:textbox>
              </v:shape>
            </w:pict>
          </mc:Fallback>
        </mc:AlternateContent>
      </w:r>
      <w:r w:rsidR="009E6F6C">
        <w:rPr>
          <w:rFonts w:ascii="Garamond" w:hAnsi="Garamond"/>
          <w:bCs/>
          <w:noProof/>
          <w:sz w:val="24"/>
        </w:rPr>
        <mc:AlternateContent>
          <mc:Choice Requires="wps">
            <w:drawing>
              <wp:anchor distT="0" distB="0" distL="114300" distR="114300" simplePos="0" relativeHeight="251693056" behindDoc="0" locked="0" layoutInCell="1" allowOverlap="1" wp14:anchorId="726221F9" wp14:editId="61D004B4">
                <wp:simplePos x="0" y="0"/>
                <wp:positionH relativeFrom="column">
                  <wp:posOffset>2217906</wp:posOffset>
                </wp:positionH>
                <wp:positionV relativeFrom="paragraph">
                  <wp:posOffset>5202974</wp:posOffset>
                </wp:positionV>
                <wp:extent cx="1546225" cy="427936"/>
                <wp:effectExtent l="0" t="0" r="3175" b="4445"/>
                <wp:wrapNone/>
                <wp:docPr id="23" name="Text Box 23"/>
                <wp:cNvGraphicFramePr/>
                <a:graphic xmlns:a="http://schemas.openxmlformats.org/drawingml/2006/main">
                  <a:graphicData uri="http://schemas.microsoft.com/office/word/2010/wordprocessingShape">
                    <wps:wsp>
                      <wps:cNvSpPr txBox="1"/>
                      <wps:spPr>
                        <a:xfrm>
                          <a:off x="0" y="0"/>
                          <a:ext cx="1546225" cy="427936"/>
                        </a:xfrm>
                        <a:prstGeom prst="rect">
                          <a:avLst/>
                        </a:prstGeom>
                        <a:solidFill>
                          <a:schemeClr val="accent1">
                            <a:lumMod val="40000"/>
                            <a:lumOff val="60000"/>
                          </a:schemeClr>
                        </a:solidFill>
                        <a:ln w="6350">
                          <a:noFill/>
                        </a:ln>
                      </wps:spPr>
                      <wps:txbx>
                        <w:txbxContent>
                          <w:p w14:paraId="27547E18" w14:textId="77777777" w:rsidR="00A60BAB" w:rsidRPr="00CA19EC" w:rsidRDefault="00A60BAB" w:rsidP="009E6F6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21F9" id="Text Box 23" o:spid="_x0000_s1061" type="#_x0000_t202" style="position:absolute;left:0;text-align:left;margin-left:174.65pt;margin-top:409.7pt;width:121.75pt;height:3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" fillcolor="#b8cce4 [1300]" stroked="f" strokeweight=".5pt">
                <v:textbox>
                  <w:txbxContent>
                    <w:p w14:paraId="27547E18" w14:textId="77777777" w:rsidR="00A60BAB" w:rsidRPr="00CA19EC" w:rsidRDefault="00A60BAB" w:rsidP="009E6F6C">
                      <w:pPr>
                        <w:rPr>
                          <w:sz w:val="18"/>
                          <w:szCs w:val="20"/>
                        </w:rPr>
                      </w:pPr>
                      <w:r w:rsidRPr="00CA19EC">
                        <w:rPr>
                          <w:sz w:val="18"/>
                          <w:szCs w:val="20"/>
                        </w:rPr>
                        <w:t>Contract Details Tab</w:t>
                      </w:r>
                    </w:p>
                  </w:txbxContent>
                </v:textbox>
              </v:shape>
            </w:pict>
          </mc:Fallback>
        </mc:AlternateContent>
      </w:r>
      <w:r w:rsidR="009E6F6C">
        <w:rPr>
          <w:rFonts w:ascii="Garamond" w:hAnsi="Garamond"/>
          <w:bCs/>
          <w:noProof/>
          <w:sz w:val="24"/>
        </w:rPr>
        <mc:AlternateContent>
          <mc:Choice Requires="wps">
            <w:drawing>
              <wp:anchor distT="0" distB="0" distL="114300" distR="114300" simplePos="0" relativeHeight="251691008" behindDoc="0" locked="0" layoutInCell="1" allowOverlap="1" wp14:anchorId="576E6C5E" wp14:editId="72E1280F">
                <wp:simplePos x="0" y="0"/>
                <wp:positionH relativeFrom="column">
                  <wp:posOffset>2217906</wp:posOffset>
                </wp:positionH>
                <wp:positionV relativeFrom="paragraph">
                  <wp:posOffset>2284676</wp:posOffset>
                </wp:positionV>
                <wp:extent cx="1546279" cy="427936"/>
                <wp:effectExtent l="0" t="0" r="3175" b="4445"/>
                <wp:wrapNone/>
                <wp:docPr id="22" name="Text Box 22"/>
                <wp:cNvGraphicFramePr/>
                <a:graphic xmlns:a="http://schemas.openxmlformats.org/drawingml/2006/main">
                  <a:graphicData uri="http://schemas.microsoft.com/office/word/2010/wordprocessingShape">
                    <wps:wsp>
                      <wps:cNvSpPr txBox="1"/>
                      <wps:spPr>
                        <a:xfrm>
                          <a:off x="0" y="0"/>
                          <a:ext cx="1546279" cy="427936"/>
                        </a:xfrm>
                        <a:prstGeom prst="rect">
                          <a:avLst/>
                        </a:prstGeom>
                        <a:solidFill>
                          <a:schemeClr val="accent1">
                            <a:lumMod val="40000"/>
                            <a:lumOff val="60000"/>
                          </a:schemeClr>
                        </a:solidFill>
                        <a:ln w="6350">
                          <a:noFill/>
                        </a:ln>
                      </wps:spPr>
                      <wps:txbx>
                        <w:txbxContent>
                          <w:p w14:paraId="2D28F0CF" w14:textId="77777777" w:rsidR="00A60BAB" w:rsidRPr="00CA19EC" w:rsidRDefault="00A60BAB" w:rsidP="009E6F6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6C5E" id="Text Box 22" o:spid="_x0000_s1062" type="#_x0000_t202" style="position:absolute;left:0;text-align:left;margin-left:174.65pt;margin-top:179.9pt;width:121.75pt;height:3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" fillcolor="#b8cce4 [1300]" stroked="f" strokeweight=".5pt">
                <v:textbox>
                  <w:txbxContent>
                    <w:p w14:paraId="2D28F0CF" w14:textId="77777777" w:rsidR="00A60BAB" w:rsidRPr="00CA19EC" w:rsidRDefault="00A60BAB" w:rsidP="009E6F6C">
                      <w:pPr>
                        <w:rPr>
                          <w:sz w:val="18"/>
                          <w:szCs w:val="20"/>
                        </w:rPr>
                      </w:pPr>
                      <w:r w:rsidRPr="00CA19EC">
                        <w:rPr>
                          <w:sz w:val="18"/>
                          <w:szCs w:val="20"/>
                        </w:rPr>
                        <w:t>Contract Details Tab</w:t>
                      </w:r>
                    </w:p>
                  </w:txbxContent>
                </v:textbox>
              </v:shape>
            </w:pict>
          </mc:Fallback>
        </mc:AlternateContent>
      </w:r>
      <w:r w:rsidR="009E6F6C">
        <w:rPr>
          <w:rFonts w:ascii="Garamond" w:hAnsi="Garamond"/>
          <w:bCs/>
          <w:noProof/>
          <w:sz w:val="24"/>
        </w:rPr>
        <mc:AlternateContent>
          <mc:Choice Requires="wps">
            <w:drawing>
              <wp:anchor distT="0" distB="0" distL="114300" distR="114300" simplePos="0" relativeHeight="251688960" behindDoc="0" locked="0" layoutInCell="1" allowOverlap="1" wp14:anchorId="3487145B" wp14:editId="248D01BA">
                <wp:simplePos x="0" y="0"/>
                <wp:positionH relativeFrom="column">
                  <wp:posOffset>2155771</wp:posOffset>
                </wp:positionH>
                <wp:positionV relativeFrom="paragraph">
                  <wp:posOffset>227952</wp:posOffset>
                </wp:positionV>
                <wp:extent cx="1604645" cy="427936"/>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1604645" cy="427936"/>
                        </a:xfrm>
                        <a:prstGeom prst="rect">
                          <a:avLst/>
                        </a:prstGeom>
                        <a:solidFill>
                          <a:schemeClr val="accent1">
                            <a:lumMod val="40000"/>
                            <a:lumOff val="60000"/>
                          </a:schemeClr>
                        </a:solidFill>
                        <a:ln w="6350">
                          <a:noFill/>
                        </a:ln>
                      </wps:spPr>
                      <wps:txbx>
                        <w:txbxContent>
                          <w:p w14:paraId="43DEAE57" w14:textId="77777777" w:rsidR="00A60BAB" w:rsidRPr="00CA19EC" w:rsidRDefault="00A60BAB" w:rsidP="009E6F6C">
                            <w:pPr>
                              <w:rPr>
                                <w:sz w:val="18"/>
                                <w:szCs w:val="20"/>
                              </w:rPr>
                            </w:pPr>
                            <w:r w:rsidRPr="00CA19EC">
                              <w:rPr>
                                <w:sz w:val="18"/>
                                <w:szCs w:val="20"/>
                              </w:rPr>
                              <w:t>Contract Details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7145B" id="Text Box 21" o:spid="_x0000_s1063" type="#_x0000_t202" style="position:absolute;left:0;text-align:left;margin-left:169.75pt;margin-top:17.95pt;width:126.35pt;height:3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" fillcolor="#b8cce4 [1300]" stroked="f" strokeweight=".5pt">
                <v:textbox>
                  <w:txbxContent>
                    <w:p w14:paraId="43DEAE57" w14:textId="77777777" w:rsidR="00A60BAB" w:rsidRPr="00CA19EC" w:rsidRDefault="00A60BAB" w:rsidP="009E6F6C">
                      <w:pPr>
                        <w:rPr>
                          <w:sz w:val="18"/>
                          <w:szCs w:val="20"/>
                        </w:rPr>
                      </w:pPr>
                      <w:r w:rsidRPr="00CA19EC">
                        <w:rPr>
                          <w:sz w:val="18"/>
                          <w:szCs w:val="20"/>
                        </w:rPr>
                        <w:t>Contract Details Tab</w:t>
                      </w:r>
                    </w:p>
                  </w:txbxContent>
                </v:textbox>
              </v:shape>
            </w:pict>
          </mc:Fallback>
        </mc:AlternateContent>
      </w:r>
      <w:r w:rsidR="00C25DC3" w:rsidRPr="0080220E">
        <w:rPr>
          <w:rFonts w:ascii="Garamond" w:hAnsi="Garamond"/>
          <w:bCs/>
          <w:noProof/>
          <w:sz w:val="24"/>
        </w:rPr>
        <w:drawing>
          <wp:inline distT="0" distB="0" distL="0" distR="0" wp14:anchorId="06E961AA" wp14:editId="42547061">
            <wp:extent cx="5103495" cy="56991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3495" cy="5699125"/>
                    </a:xfrm>
                    <a:prstGeom prst="rect">
                      <a:avLst/>
                    </a:prstGeom>
                    <a:noFill/>
                    <a:ln>
                      <a:noFill/>
                    </a:ln>
                  </pic:spPr>
                </pic:pic>
              </a:graphicData>
            </a:graphic>
          </wp:inline>
        </w:drawing>
      </w:r>
    </w:p>
    <w:p w14:paraId="7ADD5058" w14:textId="0945D874" w:rsidR="00C25DC3" w:rsidRPr="00FC0D23" w:rsidRDefault="00C25DC3" w:rsidP="00DA353D">
      <w:pPr>
        <w:pStyle w:val="Heading1"/>
      </w:pPr>
      <w:bookmarkStart w:id="37" w:name="_Toc40196448"/>
      <w:r w:rsidRPr="00FC0D23">
        <w:lastRenderedPageBreak/>
        <w:t xml:space="preserve">Timing for Retail Sellers to Submit Supporting Documentation for </w:t>
      </w:r>
      <w:r w:rsidR="00A07754" w:rsidRPr="00FC0D23">
        <w:t>PCC Classification</w:t>
      </w:r>
      <w:r w:rsidRPr="00FC0D23">
        <w:t xml:space="preserve"> Claims</w:t>
      </w:r>
      <w:bookmarkEnd w:id="37"/>
    </w:p>
    <w:p w14:paraId="17603B27" w14:textId="6C1A1C98" w:rsidR="00C25DC3" w:rsidRPr="0080220E" w:rsidRDefault="00C25DC3" w:rsidP="00C25DC3">
      <w:pPr>
        <w:spacing w:after="120"/>
        <w:rPr>
          <w:rFonts w:ascii="Garamond" w:hAnsi="Garamond"/>
          <w:bCs/>
          <w:sz w:val="24"/>
        </w:rPr>
      </w:pPr>
      <w:r w:rsidRPr="0080220E">
        <w:rPr>
          <w:rFonts w:ascii="Garamond" w:hAnsi="Garamond"/>
          <w:bCs/>
          <w:sz w:val="24"/>
        </w:rPr>
        <w:t xml:space="preserve">In accordance with the California Energy Commission’s RPS Eligibility </w:t>
      </w:r>
      <w:r w:rsidR="0063678E" w:rsidRPr="0080220E">
        <w:rPr>
          <w:rFonts w:ascii="Garamond" w:hAnsi="Garamond"/>
          <w:bCs/>
          <w:sz w:val="24"/>
        </w:rPr>
        <w:t>Guide</w:t>
      </w:r>
      <w:r w:rsidRPr="0080220E">
        <w:rPr>
          <w:rFonts w:ascii="Garamond" w:hAnsi="Garamond"/>
          <w:bCs/>
          <w:sz w:val="24"/>
        </w:rPr>
        <w:t>book</w:t>
      </w:r>
      <w:r w:rsidRPr="0080220E">
        <w:rPr>
          <w:rStyle w:val="FootnoteReference"/>
          <w:rFonts w:ascii="Garamond" w:hAnsi="Garamond"/>
          <w:bCs/>
          <w:sz w:val="24"/>
        </w:rPr>
        <w:footnoteReference w:id="20"/>
      </w:r>
      <w:r w:rsidRPr="0080220E">
        <w:rPr>
          <w:rFonts w:ascii="Garamond" w:hAnsi="Garamond"/>
          <w:bCs/>
          <w:sz w:val="24"/>
        </w:rPr>
        <w:t xml:space="preserve"> all retail sellers must submit WREGIS Compliance Reports and WREGIS e-Tag Summary Reports to the California Energy Commission and to Energy Division annually on July 1. WREGIS reports – both Compliance and e-Tag Summary – should include all generation and retirement information for the preceding year.</w:t>
      </w:r>
    </w:p>
    <w:p w14:paraId="61CA1252" w14:textId="038FA32E" w:rsidR="00C25DC3" w:rsidRPr="0080220E" w:rsidRDefault="00C25DC3" w:rsidP="00C25DC3">
      <w:pPr>
        <w:spacing w:after="120"/>
        <w:rPr>
          <w:rFonts w:ascii="Garamond" w:hAnsi="Garamond"/>
          <w:bCs/>
          <w:sz w:val="24"/>
        </w:rPr>
      </w:pPr>
      <w:r w:rsidRPr="0080220E">
        <w:rPr>
          <w:rFonts w:ascii="Garamond" w:hAnsi="Garamond"/>
          <w:bCs/>
          <w:sz w:val="24"/>
        </w:rPr>
        <w:t>Additional documentation that is required to substantiate PCC classification claims shall be submitted to Energy Division with the annual RPS compliance filing on August 1.</w:t>
      </w:r>
      <w:r w:rsidRPr="0080220E">
        <w:rPr>
          <w:rStyle w:val="FootnoteReference"/>
          <w:rFonts w:ascii="Garamond" w:hAnsi="Garamond"/>
          <w:bCs/>
          <w:sz w:val="24"/>
        </w:rPr>
        <w:footnoteReference w:id="21"/>
      </w:r>
      <w:r w:rsidRPr="0080220E">
        <w:rPr>
          <w:rFonts w:ascii="Garamond" w:hAnsi="Garamond"/>
          <w:bCs/>
          <w:sz w:val="24"/>
        </w:rPr>
        <w:t xml:space="preserve">  Please see </w:t>
      </w:r>
      <w:r w:rsidR="00985B12">
        <w:rPr>
          <w:rFonts w:ascii="Garamond" w:hAnsi="Garamond"/>
          <w:bCs/>
          <w:sz w:val="24"/>
        </w:rPr>
        <w:t>the table</w:t>
      </w:r>
      <w:r w:rsidRPr="0080220E">
        <w:rPr>
          <w:rFonts w:ascii="Garamond" w:hAnsi="Garamond"/>
          <w:bCs/>
          <w:sz w:val="24"/>
        </w:rPr>
        <w:t xml:space="preserve"> below for a list of information that needs to be submitted to Energy Division on August 1 for each PCC classification.</w:t>
      </w:r>
    </w:p>
    <w:tbl>
      <w:tblPr>
        <w:tblW w:w="9465" w:type="dxa"/>
        <w:tblLayout w:type="fixed"/>
        <w:tblCellMar>
          <w:left w:w="0" w:type="dxa"/>
          <w:right w:w="0" w:type="dxa"/>
        </w:tblCellMar>
        <w:tblLook w:val="04A0" w:firstRow="1" w:lastRow="0" w:firstColumn="1" w:lastColumn="0" w:noHBand="0" w:noVBand="1"/>
      </w:tblPr>
      <w:tblGrid>
        <w:gridCol w:w="3345"/>
        <w:gridCol w:w="6120"/>
      </w:tblGrid>
      <w:tr w:rsidR="00CC134E" w:rsidRPr="0080220E" w14:paraId="1470F424" w14:textId="77777777" w:rsidTr="00551931">
        <w:trPr>
          <w:trHeight w:val="300"/>
          <w:tblHeader/>
        </w:trPr>
        <w:tc>
          <w:tcPr>
            <w:tcW w:w="946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14:paraId="7F590064" w14:textId="3AF5E9FA" w:rsidR="00CC134E" w:rsidRPr="00551931" w:rsidRDefault="00CC134E" w:rsidP="00CC134E">
            <w:pPr>
              <w:spacing w:after="120"/>
              <w:jc w:val="center"/>
              <w:rPr>
                <w:rFonts w:ascii="Garamond" w:hAnsi="Garamond"/>
                <w:b/>
                <w:sz w:val="24"/>
              </w:rPr>
            </w:pPr>
            <w:r w:rsidRPr="00551931">
              <w:rPr>
                <w:rFonts w:ascii="Garamond" w:hAnsi="Garamond"/>
                <w:b/>
                <w:sz w:val="24"/>
              </w:rPr>
              <w:t>PCC Classification Documentation Required</w:t>
            </w:r>
          </w:p>
        </w:tc>
      </w:tr>
      <w:tr w:rsidR="00C25DC3" w:rsidRPr="0080220E" w14:paraId="6F2208E5" w14:textId="77777777" w:rsidTr="00A95219">
        <w:trPr>
          <w:trHeight w:val="300"/>
          <w:tblHeader/>
        </w:trPr>
        <w:tc>
          <w:tcPr>
            <w:tcW w:w="3345" w:type="dxa"/>
            <w:tcBorders>
              <w:top w:val="single" w:sz="4" w:space="0" w:color="auto"/>
              <w:left w:val="single" w:sz="4" w:space="0" w:color="auto"/>
              <w:bottom w:val="single" w:sz="4" w:space="0" w:color="auto"/>
              <w:right w:val="nil"/>
            </w:tcBorders>
            <w:shd w:val="clear" w:color="auto" w:fill="DBE5F1" w:themeFill="accent1" w:themeFillTint="33"/>
            <w:noWrap/>
            <w:tcMar>
              <w:top w:w="15" w:type="dxa"/>
              <w:left w:w="15" w:type="dxa"/>
              <w:bottom w:w="0" w:type="dxa"/>
              <w:right w:w="15" w:type="dxa"/>
            </w:tcMar>
            <w:vAlign w:val="center"/>
            <w:hideMark/>
          </w:tcPr>
          <w:p w14:paraId="202DB4C0" w14:textId="0A7A557A" w:rsidR="00C25DC3" w:rsidRPr="00DA353D" w:rsidRDefault="00C25DC3" w:rsidP="00515FA6">
            <w:pPr>
              <w:spacing w:after="120"/>
              <w:jc w:val="center"/>
              <w:rPr>
                <w:rFonts w:ascii="Garamond" w:hAnsi="Garamond"/>
                <w:bCs/>
                <w:sz w:val="24"/>
              </w:rPr>
            </w:pPr>
            <w:r w:rsidRPr="00DA353D">
              <w:rPr>
                <w:rFonts w:ascii="Garamond" w:hAnsi="Garamond"/>
                <w:bCs/>
                <w:sz w:val="24"/>
              </w:rPr>
              <w:t>PCC Classification</w:t>
            </w:r>
            <w:r w:rsidR="0063678E" w:rsidRPr="00DA353D">
              <w:rPr>
                <w:rFonts w:ascii="Garamond" w:hAnsi="Garamond"/>
                <w:bCs/>
                <w:sz w:val="24"/>
              </w:rPr>
              <w:t xml:space="preserve"> Claimed</w:t>
            </w:r>
          </w:p>
        </w:tc>
        <w:tc>
          <w:tcPr>
            <w:tcW w:w="6120" w:type="dxa"/>
            <w:tcBorders>
              <w:top w:val="single" w:sz="4" w:space="0" w:color="auto"/>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147BDEE1" w14:textId="77777777" w:rsidR="00C25DC3" w:rsidRPr="00DA353D" w:rsidRDefault="00C25DC3" w:rsidP="00515FA6">
            <w:pPr>
              <w:spacing w:after="120"/>
              <w:jc w:val="center"/>
              <w:rPr>
                <w:rFonts w:ascii="Garamond" w:hAnsi="Garamond"/>
                <w:bCs/>
                <w:sz w:val="24"/>
              </w:rPr>
            </w:pPr>
            <w:r w:rsidRPr="00DA353D">
              <w:rPr>
                <w:rFonts w:ascii="Garamond" w:hAnsi="Garamond"/>
                <w:bCs/>
                <w:sz w:val="24"/>
              </w:rPr>
              <w:t>Documentation Required Annually on August 1</w:t>
            </w:r>
          </w:p>
        </w:tc>
      </w:tr>
      <w:tr w:rsidR="00C25DC3" w:rsidRPr="0080220E" w14:paraId="106C4241" w14:textId="77777777" w:rsidTr="00DA353D">
        <w:trPr>
          <w:trHeight w:val="3675"/>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C2B03" w14:textId="77777777" w:rsidR="00C25DC3" w:rsidRPr="0080220E" w:rsidRDefault="00C25DC3" w:rsidP="0063678E">
            <w:pPr>
              <w:spacing w:after="120"/>
              <w:jc w:val="center"/>
              <w:rPr>
                <w:rFonts w:ascii="Garamond" w:hAnsi="Garamond"/>
                <w:bCs/>
                <w:sz w:val="24"/>
              </w:rPr>
            </w:pPr>
            <w:r w:rsidRPr="0080220E">
              <w:rPr>
                <w:rFonts w:ascii="Garamond" w:hAnsi="Garamond"/>
                <w:bCs/>
                <w:sz w:val="24"/>
              </w:rPr>
              <w:t>PCC 1 - Directly Interconnected        to a CBA</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BA309" w14:textId="355DC656" w:rsidR="00C25DC3" w:rsidRPr="0080220E" w:rsidRDefault="0063678E" w:rsidP="0063678E">
            <w:pPr>
              <w:numPr>
                <w:ilvl w:val="0"/>
                <w:numId w:val="33"/>
              </w:numPr>
              <w:tabs>
                <w:tab w:val="clear" w:pos="360"/>
              </w:tabs>
              <w:spacing w:after="0"/>
              <w:ind w:left="446" w:right="255"/>
              <w:rPr>
                <w:rFonts w:ascii="Garamond" w:hAnsi="Garamond"/>
                <w:bCs/>
                <w:sz w:val="24"/>
              </w:rPr>
            </w:pPr>
            <w:r w:rsidRPr="0080220E">
              <w:rPr>
                <w:rFonts w:ascii="Garamond" w:hAnsi="Garamond"/>
                <w:bCs/>
                <w:sz w:val="24"/>
              </w:rPr>
              <w:t>A</w:t>
            </w:r>
            <w:r w:rsidR="00C25DC3" w:rsidRPr="0080220E">
              <w:rPr>
                <w:rFonts w:ascii="Garamond" w:hAnsi="Garamond"/>
                <w:bCs/>
                <w:sz w:val="24"/>
              </w:rPr>
              <w:t xml:space="preserve"> digital copy of </w:t>
            </w:r>
            <w:r w:rsidRPr="0080220E">
              <w:rPr>
                <w:rFonts w:ascii="Garamond" w:hAnsi="Garamond"/>
                <w:bCs/>
                <w:sz w:val="24"/>
              </w:rPr>
              <w:t>the</w:t>
            </w:r>
            <w:r w:rsidR="00C25DC3" w:rsidRPr="0080220E">
              <w:rPr>
                <w:rFonts w:ascii="Garamond" w:hAnsi="Garamond"/>
                <w:bCs/>
                <w:sz w:val="24"/>
              </w:rPr>
              <w:t xml:space="preserve"> </w:t>
            </w:r>
            <w:r w:rsidRPr="0080220E">
              <w:rPr>
                <w:rFonts w:ascii="Garamond" w:hAnsi="Garamond"/>
                <w:bCs/>
                <w:sz w:val="24"/>
              </w:rPr>
              <w:t>executed</w:t>
            </w:r>
            <w:r w:rsidR="00C25DC3" w:rsidRPr="0080220E">
              <w:rPr>
                <w:rFonts w:ascii="Garamond" w:hAnsi="Garamond"/>
                <w:bCs/>
                <w:sz w:val="24"/>
              </w:rPr>
              <w:t xml:space="preserve"> </w:t>
            </w:r>
            <w:r w:rsidRPr="0080220E">
              <w:rPr>
                <w:rFonts w:ascii="Garamond" w:hAnsi="Garamond"/>
                <w:bCs/>
                <w:sz w:val="24"/>
              </w:rPr>
              <w:t xml:space="preserve">contract </w:t>
            </w:r>
            <w:r w:rsidR="00C25DC3" w:rsidRPr="0080220E">
              <w:rPr>
                <w:rFonts w:ascii="Garamond" w:hAnsi="Garamond"/>
                <w:bCs/>
                <w:sz w:val="24"/>
              </w:rPr>
              <w:t xml:space="preserve">sent to the CPUC’s secure FTP addressed to </w:t>
            </w:r>
            <w:hyperlink r:id="rId21" w:history="1">
              <w:r w:rsidRPr="0080220E">
                <w:rPr>
                  <w:rStyle w:val="Hyperlink"/>
                  <w:rFonts w:ascii="Garamond" w:hAnsi="Garamond"/>
                  <w:bCs/>
                  <w:sz w:val="24"/>
                </w:rPr>
                <w:t>rpscompliance@cpuc.ca.gov</w:t>
              </w:r>
            </w:hyperlink>
            <w:r w:rsidR="00C25DC3" w:rsidRPr="0080220E">
              <w:rPr>
                <w:rFonts w:ascii="Garamond" w:hAnsi="Garamond"/>
                <w:bCs/>
                <w:sz w:val="24"/>
              </w:rPr>
              <w:t>.</w:t>
            </w:r>
          </w:p>
          <w:p w14:paraId="08FA8589" w14:textId="554EF960" w:rsidR="00C25DC3" w:rsidRPr="0080220E" w:rsidRDefault="00C25DC3" w:rsidP="0063678E">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w:t>
            </w:r>
            <w:r w:rsidR="0063678E" w:rsidRPr="0080220E">
              <w:rPr>
                <w:rFonts w:ascii="Garamond" w:hAnsi="Garamond"/>
                <w:bCs/>
                <w:sz w:val="24"/>
              </w:rPr>
              <w:t>Details</w:t>
            </w:r>
            <w:r w:rsidRPr="0080220E">
              <w:rPr>
                <w:rFonts w:ascii="Garamond" w:hAnsi="Garamond"/>
                <w:bCs/>
                <w:sz w:val="24"/>
              </w:rPr>
              <w:t xml:space="preserve">” </w:t>
            </w:r>
            <w:r w:rsidR="0063678E" w:rsidRPr="0080220E">
              <w:rPr>
                <w:rFonts w:ascii="Garamond" w:hAnsi="Garamond"/>
                <w:bCs/>
                <w:sz w:val="24"/>
              </w:rPr>
              <w:t>tab</w:t>
            </w:r>
            <w:r w:rsidRPr="0080220E">
              <w:rPr>
                <w:rFonts w:ascii="Garamond" w:hAnsi="Garamond"/>
                <w:bCs/>
                <w:sz w:val="24"/>
              </w:rPr>
              <w:t xml:space="preserve"> in the annual </w:t>
            </w:r>
            <w:r w:rsidR="0063678E" w:rsidRPr="0080220E">
              <w:rPr>
                <w:rFonts w:ascii="Garamond" w:hAnsi="Garamond"/>
                <w:bCs/>
                <w:sz w:val="24"/>
              </w:rPr>
              <w:t>C</w:t>
            </w:r>
            <w:r w:rsidRPr="0080220E">
              <w:rPr>
                <w:rFonts w:ascii="Garamond" w:hAnsi="Garamond"/>
                <w:bCs/>
                <w:sz w:val="24"/>
              </w:rPr>
              <w:t xml:space="preserve">ompliance </w:t>
            </w:r>
            <w:r w:rsidR="0063678E" w:rsidRPr="0080220E">
              <w:rPr>
                <w:rFonts w:ascii="Garamond" w:hAnsi="Garamond"/>
                <w:bCs/>
                <w:sz w:val="24"/>
              </w:rPr>
              <w:t>R</w:t>
            </w:r>
            <w:r w:rsidRPr="0080220E">
              <w:rPr>
                <w:rFonts w:ascii="Garamond" w:hAnsi="Garamond"/>
                <w:bCs/>
                <w:sz w:val="24"/>
              </w:rPr>
              <w:t xml:space="preserve">eport, that includes new entries for any contract that has </w:t>
            </w:r>
            <w:r w:rsidR="0063678E" w:rsidRPr="0080220E">
              <w:rPr>
                <w:rFonts w:ascii="Garamond" w:hAnsi="Garamond"/>
                <w:bCs/>
                <w:sz w:val="24"/>
              </w:rPr>
              <w:t xml:space="preserve">been executed through the August 1 of the reporting year (e.g. contracts executed through August 1, 2020 for 2019 reporting, etc.). </w:t>
            </w:r>
          </w:p>
          <w:p w14:paraId="0DE19697" w14:textId="77777777" w:rsidR="00C25DC3" w:rsidRPr="0080220E" w:rsidRDefault="00C25DC3" w:rsidP="0063678E">
            <w:pPr>
              <w:numPr>
                <w:ilvl w:val="0"/>
                <w:numId w:val="33"/>
              </w:numPr>
              <w:tabs>
                <w:tab w:val="clear" w:pos="360"/>
              </w:tabs>
              <w:spacing w:after="0"/>
              <w:ind w:left="446" w:right="165"/>
              <w:rPr>
                <w:rFonts w:ascii="Garamond" w:hAnsi="Garamond"/>
                <w:bCs/>
                <w:sz w:val="24"/>
              </w:rPr>
            </w:pPr>
            <w:r w:rsidRPr="0080220E">
              <w:rPr>
                <w:rFonts w:ascii="Garamond" w:hAnsi="Garamond"/>
                <w:bCs/>
                <w:sz w:val="24"/>
              </w:rPr>
              <w:t>A demonstration of direct interconnection to a CBA. See Section III.B of this report for more detailed information.</w:t>
            </w:r>
          </w:p>
          <w:p w14:paraId="225ACCB7" w14:textId="77777777" w:rsidR="00C25DC3" w:rsidRPr="0080220E" w:rsidRDefault="00C25DC3" w:rsidP="0063678E">
            <w:pPr>
              <w:tabs>
                <w:tab w:val="clear" w:pos="360"/>
              </w:tabs>
              <w:spacing w:after="0"/>
              <w:ind w:left="446" w:right="165"/>
              <w:rPr>
                <w:rFonts w:ascii="Garamond" w:hAnsi="Garamond"/>
                <w:bCs/>
                <w:sz w:val="24"/>
              </w:rPr>
            </w:pPr>
          </w:p>
        </w:tc>
      </w:tr>
      <w:tr w:rsidR="00C25DC3" w:rsidRPr="0080220E" w14:paraId="71F6710B" w14:textId="77777777" w:rsidTr="00515FA6">
        <w:trPr>
          <w:trHeight w:val="300"/>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66CD0"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PCC 1 - Dynamic Transfer: Pseudo Tie</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9400D" w14:textId="77777777" w:rsidR="00C25DC3" w:rsidRPr="0080220E" w:rsidRDefault="00C25DC3" w:rsidP="00515FA6">
            <w:pPr>
              <w:tabs>
                <w:tab w:val="clear" w:pos="360"/>
              </w:tabs>
              <w:spacing w:after="0"/>
              <w:ind w:right="255"/>
              <w:jc w:val="both"/>
              <w:rPr>
                <w:rFonts w:ascii="Garamond" w:hAnsi="Garamond"/>
                <w:bCs/>
                <w:sz w:val="24"/>
              </w:rPr>
            </w:pPr>
            <w:r w:rsidRPr="0080220E">
              <w:rPr>
                <w:rFonts w:ascii="Garamond" w:hAnsi="Garamond"/>
                <w:bCs/>
                <w:sz w:val="24"/>
              </w:rPr>
              <w:t> </w:t>
            </w:r>
          </w:p>
          <w:p w14:paraId="740B87B9" w14:textId="6C20DD58" w:rsidR="0063678E" w:rsidRPr="0080220E" w:rsidRDefault="0063678E" w:rsidP="0063678E">
            <w:pPr>
              <w:numPr>
                <w:ilvl w:val="0"/>
                <w:numId w:val="33"/>
              </w:numPr>
              <w:tabs>
                <w:tab w:val="clear" w:pos="360"/>
              </w:tabs>
              <w:spacing w:after="0"/>
              <w:ind w:left="446" w:right="255"/>
              <w:rPr>
                <w:rFonts w:ascii="Garamond" w:hAnsi="Garamond"/>
                <w:bCs/>
                <w:sz w:val="24"/>
              </w:rPr>
            </w:pPr>
            <w:r w:rsidRPr="0080220E">
              <w:rPr>
                <w:rFonts w:ascii="Garamond" w:hAnsi="Garamond"/>
                <w:bCs/>
                <w:sz w:val="24"/>
              </w:rPr>
              <w:t xml:space="preserve">A digital copy of the executed contract sent to the CPUC’s secure FTP addressed to </w:t>
            </w:r>
            <w:hyperlink r:id="rId22" w:history="1">
              <w:r w:rsidRPr="0080220E">
                <w:rPr>
                  <w:rStyle w:val="Hyperlink"/>
                  <w:rFonts w:ascii="Garamond" w:hAnsi="Garamond"/>
                  <w:bCs/>
                  <w:sz w:val="24"/>
                </w:rPr>
                <w:t>rpscompliance@cpuc.ca.gov</w:t>
              </w:r>
            </w:hyperlink>
            <w:r w:rsidRPr="0080220E">
              <w:rPr>
                <w:rFonts w:ascii="Garamond" w:hAnsi="Garamond"/>
                <w:bCs/>
                <w:sz w:val="24"/>
              </w:rPr>
              <w:t>.</w:t>
            </w:r>
          </w:p>
          <w:p w14:paraId="7962A862" w14:textId="36B28399" w:rsidR="0063678E" w:rsidRPr="0080220E" w:rsidRDefault="0063678E" w:rsidP="0063678E">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Details” tab in the annual Compliance Report, that includes new entries for any contract that has been executed through the August 1 of the reporting year (e.g. contracts executed through August 1, 2020 for 2019 reporting, etc.). </w:t>
            </w:r>
          </w:p>
          <w:p w14:paraId="44AB56F6" w14:textId="479EB821" w:rsidR="00C25DC3" w:rsidRPr="001F41A3" w:rsidRDefault="00C25DC3" w:rsidP="001F41A3">
            <w:pPr>
              <w:numPr>
                <w:ilvl w:val="0"/>
                <w:numId w:val="33"/>
              </w:numPr>
              <w:tabs>
                <w:tab w:val="clear" w:pos="360"/>
              </w:tabs>
              <w:spacing w:after="0"/>
              <w:ind w:right="165"/>
              <w:jc w:val="both"/>
              <w:rPr>
                <w:rFonts w:ascii="Garamond" w:hAnsi="Garamond"/>
                <w:bCs/>
                <w:sz w:val="24"/>
              </w:rPr>
            </w:pPr>
            <w:r w:rsidRPr="0080220E">
              <w:rPr>
                <w:rFonts w:ascii="Garamond" w:hAnsi="Garamond"/>
                <w:bCs/>
                <w:sz w:val="24"/>
              </w:rPr>
              <w:t>A demonstration of pseudo tie agreement with a CBA</w:t>
            </w:r>
            <w:r w:rsidR="007A4F9D">
              <w:rPr>
                <w:rFonts w:ascii="Garamond" w:hAnsi="Garamond"/>
                <w:bCs/>
                <w:sz w:val="24"/>
              </w:rPr>
              <w:t xml:space="preserve"> (</w:t>
            </w:r>
            <w:r w:rsidR="006C4F15" w:rsidRPr="006C4F15">
              <w:rPr>
                <w:rFonts w:ascii="Garamond" w:hAnsi="Garamond"/>
                <w:bCs/>
                <w:sz w:val="24"/>
              </w:rPr>
              <w:t>Interconnected Control Area Operating Agreement</w:t>
            </w:r>
            <w:r w:rsidR="001F41A3">
              <w:rPr>
                <w:rFonts w:ascii="Garamond" w:hAnsi="Garamond"/>
                <w:bCs/>
                <w:sz w:val="24"/>
              </w:rPr>
              <w:t xml:space="preserve"> and </w:t>
            </w:r>
            <w:r w:rsidR="006C4F15" w:rsidRPr="001F41A3">
              <w:rPr>
                <w:rFonts w:ascii="Garamond" w:hAnsi="Garamond"/>
                <w:bCs/>
                <w:sz w:val="24"/>
              </w:rPr>
              <w:lastRenderedPageBreak/>
              <w:t>Pseudo Participating Generator Agreement)</w:t>
            </w:r>
            <w:r w:rsidRPr="001F41A3">
              <w:rPr>
                <w:rFonts w:ascii="Garamond" w:hAnsi="Garamond"/>
                <w:bCs/>
                <w:sz w:val="24"/>
              </w:rPr>
              <w:t>. See Section III.</w:t>
            </w:r>
            <w:r w:rsidR="00423E12" w:rsidRPr="001F41A3">
              <w:rPr>
                <w:rFonts w:ascii="Garamond" w:hAnsi="Garamond"/>
                <w:bCs/>
                <w:sz w:val="24"/>
              </w:rPr>
              <w:t>D</w:t>
            </w:r>
            <w:r w:rsidRPr="001F41A3">
              <w:rPr>
                <w:rFonts w:ascii="Garamond" w:hAnsi="Garamond"/>
                <w:bCs/>
                <w:sz w:val="24"/>
              </w:rPr>
              <w:t xml:space="preserve"> of this report for more detailed information.</w:t>
            </w:r>
          </w:p>
          <w:p w14:paraId="7C340024" w14:textId="77777777" w:rsidR="00C25DC3" w:rsidRPr="0080220E" w:rsidRDefault="00C25DC3" w:rsidP="00515FA6">
            <w:pPr>
              <w:tabs>
                <w:tab w:val="clear" w:pos="360"/>
              </w:tabs>
              <w:spacing w:after="0"/>
              <w:ind w:left="446" w:right="165"/>
              <w:jc w:val="both"/>
              <w:rPr>
                <w:rFonts w:ascii="Garamond" w:hAnsi="Garamond"/>
                <w:bCs/>
                <w:sz w:val="24"/>
              </w:rPr>
            </w:pPr>
          </w:p>
        </w:tc>
      </w:tr>
      <w:tr w:rsidR="00C25DC3" w:rsidRPr="0080220E" w14:paraId="472853A2" w14:textId="77777777" w:rsidTr="00DA353D">
        <w:trPr>
          <w:trHeight w:val="1092"/>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B9887" w14:textId="77777777" w:rsidR="00C25DC3" w:rsidRPr="0080220E" w:rsidRDefault="00C25DC3" w:rsidP="0063678E">
            <w:pPr>
              <w:spacing w:after="120"/>
              <w:jc w:val="center"/>
              <w:rPr>
                <w:rFonts w:ascii="Garamond" w:hAnsi="Garamond"/>
                <w:bCs/>
                <w:sz w:val="24"/>
              </w:rPr>
            </w:pPr>
            <w:r w:rsidRPr="0080220E">
              <w:rPr>
                <w:rFonts w:ascii="Garamond" w:hAnsi="Garamond"/>
                <w:bCs/>
                <w:sz w:val="24"/>
              </w:rPr>
              <w:lastRenderedPageBreak/>
              <w:t>PCC 1 - Dynamic Transfer: Dynamic Schedule</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72B50" w14:textId="6ECBF4A3" w:rsidR="00C25DC3" w:rsidRPr="0080220E" w:rsidRDefault="00C25DC3" w:rsidP="00DA353D">
            <w:pPr>
              <w:tabs>
                <w:tab w:val="clear" w:pos="360"/>
              </w:tabs>
              <w:spacing w:after="0"/>
              <w:ind w:left="446" w:right="255"/>
              <w:rPr>
                <w:rFonts w:ascii="Garamond" w:hAnsi="Garamond"/>
                <w:bCs/>
                <w:sz w:val="24"/>
              </w:rPr>
            </w:pPr>
          </w:p>
          <w:p w14:paraId="38045825" w14:textId="29B55811" w:rsidR="0063678E" w:rsidRPr="0080220E" w:rsidRDefault="0063678E" w:rsidP="0063678E">
            <w:pPr>
              <w:numPr>
                <w:ilvl w:val="0"/>
                <w:numId w:val="33"/>
              </w:numPr>
              <w:tabs>
                <w:tab w:val="clear" w:pos="360"/>
              </w:tabs>
              <w:spacing w:after="0"/>
              <w:ind w:left="446" w:right="255"/>
              <w:rPr>
                <w:rFonts w:ascii="Garamond" w:hAnsi="Garamond"/>
                <w:bCs/>
                <w:sz w:val="24"/>
              </w:rPr>
            </w:pPr>
            <w:r w:rsidRPr="0080220E">
              <w:rPr>
                <w:rFonts w:ascii="Garamond" w:hAnsi="Garamond"/>
                <w:bCs/>
                <w:sz w:val="24"/>
              </w:rPr>
              <w:t xml:space="preserve">A digital copy of the executed contract sent to the CPUC’s secure FTP addressed to </w:t>
            </w:r>
            <w:hyperlink r:id="rId23" w:history="1">
              <w:r w:rsidRPr="0080220E">
                <w:rPr>
                  <w:rStyle w:val="Hyperlink"/>
                  <w:rFonts w:ascii="Garamond" w:hAnsi="Garamond"/>
                  <w:bCs/>
                  <w:sz w:val="24"/>
                </w:rPr>
                <w:t>rpscompliance@cpuc.ca.gov</w:t>
              </w:r>
            </w:hyperlink>
            <w:r w:rsidRPr="0080220E">
              <w:rPr>
                <w:rFonts w:ascii="Garamond" w:hAnsi="Garamond"/>
                <w:bCs/>
                <w:sz w:val="24"/>
              </w:rPr>
              <w:t>.</w:t>
            </w:r>
          </w:p>
          <w:p w14:paraId="19B65BA2" w14:textId="72787A02" w:rsidR="0063678E" w:rsidRPr="0080220E" w:rsidRDefault="0063678E" w:rsidP="0063678E">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Details” tab in the annual Compliance Report, that includes new entries for any contract that has been executed through the August 1 of the reporting year (e.g. contracts executed through August 1, 2020 for 2019 reporting, etc.). </w:t>
            </w:r>
          </w:p>
          <w:p w14:paraId="59CBF140" w14:textId="53EA5149" w:rsidR="00C25DC3" w:rsidRPr="0080220E" w:rsidRDefault="00C25DC3" w:rsidP="00DA353D">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 digital copy of </w:t>
            </w:r>
            <w:r w:rsidR="0063678E" w:rsidRPr="0080220E">
              <w:rPr>
                <w:rFonts w:ascii="Garamond" w:hAnsi="Garamond"/>
                <w:bCs/>
                <w:sz w:val="24"/>
              </w:rPr>
              <w:t>the</w:t>
            </w:r>
            <w:r w:rsidRPr="0080220E">
              <w:rPr>
                <w:rFonts w:ascii="Garamond" w:hAnsi="Garamond"/>
                <w:bCs/>
                <w:sz w:val="24"/>
              </w:rPr>
              <w:t xml:space="preserve"> dynamic transfer agreement to deliver RPS electricity to a CBA</w:t>
            </w:r>
            <w:r w:rsidR="002D36BB">
              <w:rPr>
                <w:rFonts w:ascii="Garamond" w:hAnsi="Garamond"/>
                <w:bCs/>
                <w:sz w:val="24"/>
              </w:rPr>
              <w:t xml:space="preserve"> (Dynamic Imports Operating Agreement and Dynamic Scheduling Agreement)</w:t>
            </w:r>
          </w:p>
          <w:p w14:paraId="7FF2FBC3" w14:textId="77777777" w:rsidR="00C25DC3" w:rsidRPr="0080220E" w:rsidRDefault="00C25DC3" w:rsidP="00DA353D">
            <w:pPr>
              <w:numPr>
                <w:ilvl w:val="0"/>
                <w:numId w:val="33"/>
              </w:numPr>
              <w:tabs>
                <w:tab w:val="clear" w:pos="360"/>
              </w:tabs>
              <w:spacing w:after="0"/>
              <w:ind w:left="446" w:right="165"/>
              <w:rPr>
                <w:rFonts w:ascii="Garamond" w:hAnsi="Garamond"/>
                <w:bCs/>
                <w:sz w:val="24"/>
              </w:rPr>
            </w:pPr>
            <w:r w:rsidRPr="0080220E">
              <w:rPr>
                <w:rFonts w:ascii="Garamond" w:hAnsi="Garamond"/>
                <w:bCs/>
                <w:sz w:val="24"/>
              </w:rPr>
              <w:t>An Hourly Meter and e-Tag Reconciliation Report listing all MWh that are being claimed under PCC 1.</w:t>
            </w:r>
          </w:p>
          <w:p w14:paraId="27B16E0A" w14:textId="77777777" w:rsidR="00C25DC3" w:rsidRPr="0080220E" w:rsidRDefault="00C25DC3" w:rsidP="00DA353D">
            <w:pPr>
              <w:numPr>
                <w:ilvl w:val="0"/>
                <w:numId w:val="33"/>
              </w:numPr>
              <w:tabs>
                <w:tab w:val="clear" w:pos="360"/>
              </w:tabs>
              <w:spacing w:after="0"/>
              <w:ind w:left="446" w:right="165"/>
              <w:rPr>
                <w:rFonts w:ascii="Garamond" w:hAnsi="Garamond"/>
                <w:bCs/>
                <w:sz w:val="24"/>
              </w:rPr>
            </w:pPr>
            <w:r w:rsidRPr="0080220E">
              <w:rPr>
                <w:rFonts w:ascii="Garamond" w:hAnsi="Garamond" w:cs="Arial"/>
                <w:bCs/>
                <w:sz w:val="24"/>
              </w:rPr>
              <w:t>An RPS Hourly e-Tag Summary Report for any e-Tags that are not reported and matched within the WREGIS e-Tag report. This report may also report e-Tags with clerical errors, e.g., including the wrong RPS ID in the Misc. field.</w:t>
            </w:r>
          </w:p>
          <w:p w14:paraId="5CD73565" w14:textId="77777777" w:rsidR="00C25DC3" w:rsidRPr="0080220E" w:rsidRDefault="00C25DC3" w:rsidP="00DA353D">
            <w:pPr>
              <w:tabs>
                <w:tab w:val="clear" w:pos="360"/>
              </w:tabs>
              <w:spacing w:after="0"/>
              <w:ind w:left="446" w:right="165"/>
              <w:rPr>
                <w:rFonts w:ascii="Garamond" w:hAnsi="Garamond"/>
                <w:bCs/>
                <w:sz w:val="24"/>
              </w:rPr>
            </w:pPr>
          </w:p>
        </w:tc>
      </w:tr>
      <w:tr w:rsidR="00C25DC3" w:rsidRPr="0080220E" w14:paraId="11990565" w14:textId="77777777" w:rsidTr="00515FA6">
        <w:trPr>
          <w:trHeight w:val="300"/>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D55ED"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PCC 1 - Scheduled on an Hourly or Sub-Hourly Basis</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64A67" w14:textId="77777777" w:rsidR="00C25DC3" w:rsidRPr="0080220E" w:rsidRDefault="00C25DC3" w:rsidP="00515FA6">
            <w:pPr>
              <w:tabs>
                <w:tab w:val="clear" w:pos="360"/>
              </w:tabs>
              <w:spacing w:after="0"/>
              <w:ind w:left="446" w:right="255"/>
              <w:jc w:val="both"/>
              <w:rPr>
                <w:rFonts w:ascii="Garamond" w:hAnsi="Garamond"/>
                <w:bCs/>
                <w:sz w:val="24"/>
              </w:rPr>
            </w:pPr>
            <w:r w:rsidRPr="0080220E">
              <w:rPr>
                <w:rFonts w:ascii="Garamond" w:hAnsi="Garamond"/>
                <w:bCs/>
                <w:sz w:val="24"/>
              </w:rPr>
              <w:t> </w:t>
            </w:r>
          </w:p>
          <w:p w14:paraId="5437E7E9" w14:textId="77777777" w:rsidR="000857E8" w:rsidRPr="0080220E" w:rsidRDefault="000857E8" w:rsidP="000857E8">
            <w:pPr>
              <w:numPr>
                <w:ilvl w:val="0"/>
                <w:numId w:val="33"/>
              </w:numPr>
              <w:tabs>
                <w:tab w:val="clear" w:pos="360"/>
              </w:tabs>
              <w:spacing w:after="0"/>
              <w:ind w:left="446" w:right="255"/>
              <w:rPr>
                <w:rFonts w:ascii="Garamond" w:hAnsi="Garamond"/>
                <w:bCs/>
                <w:sz w:val="24"/>
              </w:rPr>
            </w:pPr>
            <w:r w:rsidRPr="0080220E">
              <w:rPr>
                <w:rFonts w:ascii="Garamond" w:hAnsi="Garamond"/>
                <w:bCs/>
                <w:sz w:val="24"/>
              </w:rPr>
              <w:t xml:space="preserve">A digital copy of the executed contract sent to the CPUC’s secure FTP addressed to </w:t>
            </w:r>
            <w:hyperlink r:id="rId24" w:history="1">
              <w:r w:rsidRPr="0080220E">
                <w:rPr>
                  <w:rStyle w:val="Hyperlink"/>
                  <w:rFonts w:ascii="Garamond" w:hAnsi="Garamond"/>
                  <w:bCs/>
                  <w:sz w:val="24"/>
                </w:rPr>
                <w:t>rpscompliance@cpuc.ca.gov</w:t>
              </w:r>
            </w:hyperlink>
            <w:r w:rsidRPr="0080220E">
              <w:rPr>
                <w:rFonts w:ascii="Garamond" w:hAnsi="Garamond"/>
                <w:bCs/>
                <w:sz w:val="24"/>
              </w:rPr>
              <w:t>.</w:t>
            </w:r>
          </w:p>
          <w:p w14:paraId="7FC8B5C6" w14:textId="77777777" w:rsidR="000857E8" w:rsidRPr="0080220E" w:rsidRDefault="000857E8" w:rsidP="000857E8">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Details” tab in the annual Compliance Report, that includes new entries for any contract that has been executed through the August 1 of the reporting year (e.g. contracts executed through August 1, 2020 for 2019 reporting, etc.). </w:t>
            </w:r>
          </w:p>
          <w:p w14:paraId="1313E550" w14:textId="21CD7D2D" w:rsidR="00C25DC3" w:rsidRPr="0080220E" w:rsidRDefault="00C25DC3" w:rsidP="00C25DC3">
            <w:pPr>
              <w:numPr>
                <w:ilvl w:val="0"/>
                <w:numId w:val="33"/>
              </w:numPr>
              <w:tabs>
                <w:tab w:val="clear" w:pos="360"/>
              </w:tabs>
              <w:spacing w:after="0"/>
              <w:ind w:left="446" w:right="165"/>
              <w:jc w:val="both"/>
              <w:rPr>
                <w:rFonts w:ascii="Garamond" w:hAnsi="Garamond"/>
                <w:bCs/>
                <w:sz w:val="24"/>
              </w:rPr>
            </w:pPr>
            <w:r w:rsidRPr="0080220E">
              <w:rPr>
                <w:rFonts w:ascii="Garamond" w:hAnsi="Garamond"/>
                <w:bCs/>
                <w:sz w:val="24"/>
              </w:rPr>
              <w:t xml:space="preserve">An </w:t>
            </w:r>
            <w:r w:rsidR="000857E8" w:rsidRPr="0080220E">
              <w:rPr>
                <w:rFonts w:ascii="Garamond" w:hAnsi="Garamond"/>
                <w:bCs/>
                <w:sz w:val="24"/>
              </w:rPr>
              <w:t xml:space="preserve">RPS </w:t>
            </w:r>
            <w:r w:rsidRPr="0080220E">
              <w:rPr>
                <w:rFonts w:ascii="Garamond" w:hAnsi="Garamond"/>
                <w:bCs/>
                <w:sz w:val="24"/>
              </w:rPr>
              <w:t>Hourly Meter and e-Tag Reconciliation Report listing all MWh that are being claimed under PCC 1.</w:t>
            </w:r>
          </w:p>
          <w:p w14:paraId="7D50F817" w14:textId="1D2507A6" w:rsidR="00C25DC3" w:rsidRPr="0080220E" w:rsidRDefault="00C25DC3" w:rsidP="00C25DC3">
            <w:pPr>
              <w:numPr>
                <w:ilvl w:val="0"/>
                <w:numId w:val="33"/>
              </w:numPr>
              <w:tabs>
                <w:tab w:val="clear" w:pos="360"/>
              </w:tabs>
              <w:spacing w:after="0"/>
              <w:ind w:left="446" w:right="165"/>
              <w:jc w:val="both"/>
              <w:rPr>
                <w:rFonts w:ascii="Garamond" w:hAnsi="Garamond"/>
                <w:bCs/>
                <w:sz w:val="24"/>
              </w:rPr>
            </w:pPr>
            <w:r w:rsidRPr="0080220E">
              <w:rPr>
                <w:rFonts w:ascii="Garamond" w:hAnsi="Garamond" w:cs="Arial"/>
                <w:bCs/>
                <w:sz w:val="24"/>
              </w:rPr>
              <w:t xml:space="preserve">An RPS Hourly e-Tag Summary Report for any e-Tags that are not reported and matched within the WREGIS e-Tag report. This report may also report e-Tags with clerical errors, </w:t>
            </w:r>
            <w:r w:rsidR="000857E8" w:rsidRPr="0080220E">
              <w:rPr>
                <w:rFonts w:ascii="Garamond" w:hAnsi="Garamond" w:cs="Arial"/>
                <w:bCs/>
                <w:sz w:val="24"/>
              </w:rPr>
              <w:t>(</w:t>
            </w:r>
            <w:r w:rsidRPr="0080220E">
              <w:rPr>
                <w:rFonts w:ascii="Garamond" w:hAnsi="Garamond" w:cs="Arial"/>
                <w:bCs/>
                <w:sz w:val="24"/>
              </w:rPr>
              <w:t>e.g., including the wrong RPS ID in the Misc. field.</w:t>
            </w:r>
            <w:r w:rsidR="000857E8" w:rsidRPr="0080220E">
              <w:rPr>
                <w:rFonts w:ascii="Garamond" w:hAnsi="Garamond" w:cs="Arial"/>
                <w:bCs/>
                <w:sz w:val="24"/>
              </w:rPr>
              <w:t>)</w:t>
            </w:r>
          </w:p>
          <w:p w14:paraId="264A75E1" w14:textId="77777777" w:rsidR="00C25DC3" w:rsidRPr="0080220E" w:rsidRDefault="00C25DC3" w:rsidP="00515FA6">
            <w:pPr>
              <w:tabs>
                <w:tab w:val="clear" w:pos="360"/>
              </w:tabs>
              <w:spacing w:after="0"/>
              <w:ind w:left="446" w:right="165"/>
              <w:jc w:val="both"/>
              <w:rPr>
                <w:rFonts w:ascii="Garamond" w:hAnsi="Garamond"/>
                <w:bCs/>
                <w:sz w:val="24"/>
              </w:rPr>
            </w:pPr>
          </w:p>
        </w:tc>
      </w:tr>
    </w:tbl>
    <w:p w14:paraId="3670A033" w14:textId="77777777" w:rsidR="00C25DC3" w:rsidRPr="0080220E" w:rsidRDefault="00C25DC3" w:rsidP="00C25DC3">
      <w:pPr>
        <w:rPr>
          <w:rFonts w:ascii="Garamond" w:hAnsi="Garamond"/>
          <w:bCs/>
          <w:sz w:val="24"/>
        </w:rPr>
      </w:pPr>
      <w:r w:rsidRPr="0080220E">
        <w:rPr>
          <w:rFonts w:ascii="Garamond" w:hAnsi="Garamond"/>
          <w:bCs/>
          <w:sz w:val="24"/>
        </w:rPr>
        <w:br w:type="page"/>
      </w:r>
    </w:p>
    <w:tbl>
      <w:tblPr>
        <w:tblW w:w="9465" w:type="dxa"/>
        <w:tblLayout w:type="fixed"/>
        <w:tblCellMar>
          <w:left w:w="0" w:type="dxa"/>
          <w:right w:w="0" w:type="dxa"/>
        </w:tblCellMar>
        <w:tblLook w:val="04A0" w:firstRow="1" w:lastRow="0" w:firstColumn="1" w:lastColumn="0" w:noHBand="0" w:noVBand="1"/>
      </w:tblPr>
      <w:tblGrid>
        <w:gridCol w:w="3345"/>
        <w:gridCol w:w="6120"/>
      </w:tblGrid>
      <w:tr w:rsidR="00C25DC3" w:rsidRPr="0080220E" w14:paraId="02B1F496" w14:textId="77777777" w:rsidTr="00A95219">
        <w:trPr>
          <w:trHeight w:val="55"/>
        </w:trPr>
        <w:tc>
          <w:tcPr>
            <w:tcW w:w="3345" w:type="dxa"/>
            <w:tcBorders>
              <w:top w:val="single" w:sz="4" w:space="0" w:color="auto"/>
              <w:left w:val="single" w:sz="4" w:space="0" w:color="auto"/>
              <w:bottom w:val="single" w:sz="4" w:space="0" w:color="auto"/>
            </w:tcBorders>
            <w:shd w:val="clear" w:color="auto" w:fill="DBE5F1" w:themeFill="accent1" w:themeFillTint="33"/>
            <w:noWrap/>
            <w:tcMar>
              <w:top w:w="15" w:type="dxa"/>
              <w:left w:w="15" w:type="dxa"/>
              <w:bottom w:w="0" w:type="dxa"/>
              <w:right w:w="15" w:type="dxa"/>
            </w:tcMar>
            <w:vAlign w:val="center"/>
          </w:tcPr>
          <w:p w14:paraId="19BE9A53" w14:textId="6531E221" w:rsidR="00C25DC3" w:rsidRPr="00DA353D" w:rsidRDefault="00C25DC3" w:rsidP="00515FA6">
            <w:pPr>
              <w:spacing w:after="120"/>
              <w:jc w:val="center"/>
              <w:rPr>
                <w:rFonts w:ascii="Garamond" w:hAnsi="Garamond"/>
                <w:bCs/>
                <w:sz w:val="24"/>
              </w:rPr>
            </w:pPr>
            <w:r w:rsidRPr="00DA353D">
              <w:rPr>
                <w:rFonts w:ascii="Garamond" w:hAnsi="Garamond"/>
                <w:bCs/>
                <w:sz w:val="24"/>
              </w:rPr>
              <w:lastRenderedPageBreak/>
              <w:t>PCC Classification</w:t>
            </w:r>
            <w:r w:rsidR="00A07754" w:rsidRPr="00DA353D">
              <w:rPr>
                <w:rFonts w:ascii="Garamond" w:hAnsi="Garamond"/>
                <w:bCs/>
                <w:sz w:val="24"/>
              </w:rPr>
              <w:t xml:space="preserve"> Claimed</w:t>
            </w:r>
          </w:p>
        </w:tc>
        <w:tc>
          <w:tcPr>
            <w:tcW w:w="6120" w:type="dxa"/>
            <w:tcBorders>
              <w:top w:val="single" w:sz="4" w:space="0" w:color="auto"/>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tcPr>
          <w:p w14:paraId="403314CE" w14:textId="77777777" w:rsidR="00C25DC3" w:rsidRPr="00DA353D" w:rsidRDefault="00C25DC3" w:rsidP="00515FA6">
            <w:pPr>
              <w:spacing w:after="120"/>
              <w:jc w:val="center"/>
              <w:rPr>
                <w:rFonts w:ascii="Garamond" w:hAnsi="Garamond"/>
                <w:bCs/>
                <w:sz w:val="24"/>
              </w:rPr>
            </w:pPr>
            <w:r w:rsidRPr="00DA353D">
              <w:rPr>
                <w:rFonts w:ascii="Garamond" w:hAnsi="Garamond"/>
                <w:bCs/>
                <w:sz w:val="24"/>
              </w:rPr>
              <w:t>Documentation Required Annually on August 1</w:t>
            </w:r>
          </w:p>
        </w:tc>
      </w:tr>
      <w:tr w:rsidR="00C25DC3" w:rsidRPr="0080220E" w14:paraId="3D716929" w14:textId="77777777" w:rsidTr="00515FA6">
        <w:trPr>
          <w:trHeight w:val="55"/>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0D87E"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PCC 2</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DFD84" w14:textId="77777777" w:rsidR="00C25DC3" w:rsidRPr="0080220E" w:rsidRDefault="00C25DC3" w:rsidP="00515FA6">
            <w:pPr>
              <w:tabs>
                <w:tab w:val="clear" w:pos="360"/>
              </w:tabs>
              <w:spacing w:after="0"/>
              <w:ind w:left="446" w:right="255"/>
              <w:jc w:val="both"/>
              <w:rPr>
                <w:rFonts w:ascii="Garamond" w:hAnsi="Garamond"/>
                <w:bCs/>
                <w:sz w:val="24"/>
              </w:rPr>
            </w:pPr>
          </w:p>
          <w:p w14:paraId="53018D2E" w14:textId="77777777" w:rsidR="000857E8" w:rsidRPr="0080220E" w:rsidRDefault="00C25DC3" w:rsidP="000857E8">
            <w:pPr>
              <w:numPr>
                <w:ilvl w:val="0"/>
                <w:numId w:val="33"/>
              </w:numPr>
              <w:tabs>
                <w:tab w:val="clear" w:pos="360"/>
              </w:tabs>
              <w:spacing w:after="0"/>
              <w:ind w:left="446" w:right="255"/>
              <w:rPr>
                <w:rFonts w:ascii="Garamond" w:hAnsi="Garamond"/>
                <w:bCs/>
                <w:sz w:val="24"/>
              </w:rPr>
            </w:pPr>
            <w:r w:rsidRPr="0080220E">
              <w:rPr>
                <w:rFonts w:ascii="Garamond" w:hAnsi="Garamond"/>
                <w:bCs/>
                <w:sz w:val="24"/>
              </w:rPr>
              <w:t> </w:t>
            </w:r>
            <w:r w:rsidR="000857E8" w:rsidRPr="0080220E">
              <w:rPr>
                <w:rFonts w:ascii="Garamond" w:hAnsi="Garamond"/>
                <w:bCs/>
                <w:sz w:val="24"/>
              </w:rPr>
              <w:t xml:space="preserve">A digital copy of the executed contract sent to the CPUC’s secure FTP addressed to </w:t>
            </w:r>
            <w:hyperlink r:id="rId25" w:history="1">
              <w:r w:rsidR="000857E8" w:rsidRPr="0080220E">
                <w:rPr>
                  <w:rStyle w:val="Hyperlink"/>
                  <w:rFonts w:ascii="Garamond" w:hAnsi="Garamond"/>
                  <w:bCs/>
                  <w:sz w:val="24"/>
                </w:rPr>
                <w:t>rpscompliance@cpuc.ca.gov</w:t>
              </w:r>
            </w:hyperlink>
            <w:r w:rsidR="000857E8" w:rsidRPr="0080220E">
              <w:rPr>
                <w:rFonts w:ascii="Garamond" w:hAnsi="Garamond"/>
                <w:bCs/>
                <w:sz w:val="24"/>
              </w:rPr>
              <w:t>.</w:t>
            </w:r>
          </w:p>
          <w:p w14:paraId="7D91F3A6" w14:textId="77777777" w:rsidR="000857E8" w:rsidRPr="0080220E" w:rsidRDefault="000857E8" w:rsidP="000857E8">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Details” tab in the annual Compliance Report, that includes new entries for any contract that has been executed through the August 1 of the reporting year (e.g. contracts executed through August 1, 2020 for 2019 reporting, etc.). </w:t>
            </w:r>
          </w:p>
          <w:p w14:paraId="674E2F17" w14:textId="77777777" w:rsidR="00C25DC3" w:rsidRPr="0080220E" w:rsidRDefault="00C25DC3" w:rsidP="00C25DC3">
            <w:pPr>
              <w:numPr>
                <w:ilvl w:val="0"/>
                <w:numId w:val="33"/>
              </w:numPr>
              <w:tabs>
                <w:tab w:val="clear" w:pos="360"/>
              </w:tabs>
              <w:spacing w:after="0"/>
              <w:ind w:left="446" w:right="165"/>
              <w:jc w:val="both"/>
              <w:rPr>
                <w:rFonts w:ascii="Garamond" w:hAnsi="Garamond"/>
                <w:bCs/>
                <w:sz w:val="24"/>
              </w:rPr>
            </w:pPr>
            <w:r w:rsidRPr="0080220E">
              <w:rPr>
                <w:rFonts w:ascii="Garamond" w:hAnsi="Garamond" w:cs="Arial"/>
                <w:bCs/>
                <w:sz w:val="24"/>
              </w:rPr>
              <w:t>An RPS Hourly e-Tag Summary Report for any e-Tags that are not reported and matched within the WREGIS e-Tag report. This report may also report e-Tags with clerical errors, e.g., including the wrong RPS ID in the Misc. field.</w:t>
            </w:r>
          </w:p>
        </w:tc>
      </w:tr>
      <w:tr w:rsidR="00C25DC3" w:rsidRPr="0080220E" w14:paraId="07FFC8AD" w14:textId="77777777" w:rsidTr="00DA353D">
        <w:trPr>
          <w:trHeight w:val="300"/>
        </w:trPr>
        <w:tc>
          <w:tcPr>
            <w:tcW w:w="3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C21A3"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PCC 3</w:t>
            </w:r>
          </w:p>
        </w:tc>
        <w:tc>
          <w:tcPr>
            <w:tcW w:w="61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33898" w14:textId="77777777" w:rsidR="00C25DC3" w:rsidRPr="0080220E" w:rsidRDefault="00C25DC3" w:rsidP="00515FA6">
            <w:pPr>
              <w:tabs>
                <w:tab w:val="clear" w:pos="360"/>
              </w:tabs>
              <w:spacing w:after="0"/>
              <w:ind w:left="446" w:right="255"/>
              <w:jc w:val="both"/>
              <w:rPr>
                <w:rFonts w:ascii="Garamond" w:hAnsi="Garamond"/>
                <w:bCs/>
                <w:sz w:val="24"/>
              </w:rPr>
            </w:pPr>
          </w:p>
          <w:p w14:paraId="1CFD748D" w14:textId="77777777" w:rsidR="000857E8" w:rsidRPr="0080220E" w:rsidRDefault="00C25DC3" w:rsidP="000857E8">
            <w:pPr>
              <w:numPr>
                <w:ilvl w:val="0"/>
                <w:numId w:val="33"/>
              </w:numPr>
              <w:tabs>
                <w:tab w:val="clear" w:pos="360"/>
              </w:tabs>
              <w:spacing w:after="0"/>
              <w:ind w:left="446" w:right="255"/>
              <w:rPr>
                <w:rFonts w:ascii="Garamond" w:hAnsi="Garamond"/>
                <w:bCs/>
                <w:sz w:val="24"/>
              </w:rPr>
            </w:pPr>
            <w:r w:rsidRPr="0080220E">
              <w:rPr>
                <w:rFonts w:ascii="Garamond" w:hAnsi="Garamond"/>
                <w:bCs/>
                <w:sz w:val="24"/>
              </w:rPr>
              <w:t> </w:t>
            </w:r>
            <w:r w:rsidR="000857E8" w:rsidRPr="0080220E">
              <w:rPr>
                <w:rFonts w:ascii="Garamond" w:hAnsi="Garamond"/>
                <w:bCs/>
                <w:sz w:val="24"/>
              </w:rPr>
              <w:t xml:space="preserve">A digital copy of the executed contract sent to the CPUC’s secure FTP addressed to </w:t>
            </w:r>
            <w:hyperlink r:id="rId26" w:history="1">
              <w:r w:rsidR="000857E8" w:rsidRPr="0080220E">
                <w:rPr>
                  <w:rStyle w:val="Hyperlink"/>
                  <w:rFonts w:ascii="Garamond" w:hAnsi="Garamond"/>
                  <w:bCs/>
                  <w:sz w:val="24"/>
                </w:rPr>
                <w:t>rpscompliance@cpuc.ca.gov</w:t>
              </w:r>
            </w:hyperlink>
            <w:r w:rsidR="000857E8" w:rsidRPr="0080220E">
              <w:rPr>
                <w:rFonts w:ascii="Garamond" w:hAnsi="Garamond"/>
                <w:bCs/>
                <w:sz w:val="24"/>
              </w:rPr>
              <w:t>.</w:t>
            </w:r>
          </w:p>
          <w:p w14:paraId="426D1878" w14:textId="77777777" w:rsidR="000857E8" w:rsidRPr="0080220E" w:rsidRDefault="000857E8" w:rsidP="000857E8">
            <w:pPr>
              <w:numPr>
                <w:ilvl w:val="0"/>
                <w:numId w:val="33"/>
              </w:numPr>
              <w:tabs>
                <w:tab w:val="clear" w:pos="360"/>
              </w:tabs>
              <w:spacing w:after="0"/>
              <w:ind w:left="446" w:right="165"/>
              <w:rPr>
                <w:rFonts w:ascii="Garamond" w:hAnsi="Garamond"/>
                <w:bCs/>
                <w:sz w:val="24"/>
              </w:rPr>
            </w:pPr>
            <w:r w:rsidRPr="0080220E">
              <w:rPr>
                <w:rFonts w:ascii="Garamond" w:hAnsi="Garamond"/>
                <w:bCs/>
                <w:sz w:val="24"/>
              </w:rPr>
              <w:t xml:space="preserve">An updated “Contract Details” tab in the annual Compliance Report, that includes new entries for any contract that has been executed through the August 1 of the reporting year (e.g. contracts executed through August 1, 2020 for 2019 reporting, etc.). </w:t>
            </w:r>
          </w:p>
          <w:p w14:paraId="045690DB" w14:textId="77777777" w:rsidR="00C25DC3" w:rsidRPr="0080220E" w:rsidRDefault="00C25DC3" w:rsidP="00DA353D">
            <w:pPr>
              <w:tabs>
                <w:tab w:val="clear" w:pos="360"/>
              </w:tabs>
              <w:spacing w:after="0"/>
              <w:ind w:right="165"/>
              <w:jc w:val="both"/>
              <w:rPr>
                <w:rFonts w:ascii="Garamond" w:hAnsi="Garamond"/>
                <w:bCs/>
                <w:sz w:val="24"/>
              </w:rPr>
            </w:pPr>
          </w:p>
        </w:tc>
      </w:tr>
      <w:tr w:rsidR="000857E8" w:rsidRPr="0080220E" w14:paraId="41242927" w14:textId="77777777" w:rsidTr="00DA353D">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DD23B" w14:textId="3182F201" w:rsidR="000857E8" w:rsidRPr="0080220E" w:rsidRDefault="000857E8" w:rsidP="00515FA6">
            <w:pPr>
              <w:spacing w:after="120"/>
              <w:jc w:val="center"/>
              <w:rPr>
                <w:rFonts w:ascii="Garamond" w:hAnsi="Garamond"/>
                <w:bCs/>
                <w:sz w:val="24"/>
              </w:rPr>
            </w:pPr>
            <w:r w:rsidRPr="0080220E">
              <w:rPr>
                <w:rFonts w:ascii="Garamond" w:hAnsi="Garamond"/>
                <w:bCs/>
                <w:sz w:val="24"/>
              </w:rPr>
              <w:t xml:space="preserve">PCC 0 </w:t>
            </w:r>
          </w:p>
        </w:tc>
        <w:tc>
          <w:tcPr>
            <w:tcW w:w="61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319F41" w14:textId="66E83DBB" w:rsidR="000857E8" w:rsidRPr="0080220E" w:rsidRDefault="000857E8" w:rsidP="000857E8">
            <w:pPr>
              <w:pStyle w:val="ListParagraph"/>
              <w:numPr>
                <w:ilvl w:val="0"/>
                <w:numId w:val="37"/>
              </w:numPr>
              <w:spacing w:after="120"/>
              <w:rPr>
                <w:rFonts w:ascii="Garamond" w:hAnsi="Garamond"/>
                <w:bCs/>
                <w:sz w:val="24"/>
              </w:rPr>
            </w:pPr>
            <w:r w:rsidRPr="00DA353D">
              <w:rPr>
                <w:rFonts w:ascii="Garamond" w:hAnsi="Garamond"/>
                <w:bCs/>
                <w:sz w:val="24"/>
              </w:rPr>
              <w:t xml:space="preserve">For PCC 0 claims, all IOUs will need to make a submission of all contracts executed before </w:t>
            </w:r>
            <w:r w:rsidR="00D22712" w:rsidRPr="00DA353D">
              <w:rPr>
                <w:rFonts w:ascii="Garamond" w:hAnsi="Garamond"/>
                <w:bCs/>
                <w:sz w:val="24"/>
              </w:rPr>
              <w:t>June 1, 2010 and</w:t>
            </w:r>
            <w:r w:rsidRPr="00DA353D">
              <w:rPr>
                <w:rFonts w:ascii="Garamond" w:hAnsi="Garamond"/>
                <w:bCs/>
                <w:sz w:val="24"/>
              </w:rPr>
              <w:t xml:space="preserve"> include the contract in the “Contract </w:t>
            </w:r>
            <w:r w:rsidRPr="0080220E">
              <w:rPr>
                <w:rFonts w:ascii="Garamond" w:hAnsi="Garamond"/>
                <w:bCs/>
                <w:sz w:val="24"/>
              </w:rPr>
              <w:t>Details</w:t>
            </w:r>
            <w:r w:rsidRPr="00DA353D">
              <w:rPr>
                <w:rFonts w:ascii="Garamond" w:hAnsi="Garamond"/>
                <w:bCs/>
                <w:sz w:val="24"/>
              </w:rPr>
              <w:t xml:space="preserve">” </w:t>
            </w:r>
            <w:r w:rsidRPr="0080220E">
              <w:rPr>
                <w:rFonts w:ascii="Garamond" w:hAnsi="Garamond"/>
                <w:bCs/>
                <w:sz w:val="24"/>
              </w:rPr>
              <w:t>tab</w:t>
            </w:r>
            <w:r w:rsidRPr="00DA353D">
              <w:rPr>
                <w:rFonts w:ascii="Garamond" w:hAnsi="Garamond"/>
                <w:bCs/>
                <w:sz w:val="24"/>
              </w:rPr>
              <w:t xml:space="preserve"> of the annual </w:t>
            </w:r>
            <w:r w:rsidRPr="0080220E">
              <w:rPr>
                <w:rFonts w:ascii="Garamond" w:hAnsi="Garamond"/>
                <w:bCs/>
                <w:sz w:val="24"/>
              </w:rPr>
              <w:t>RPS C</w:t>
            </w:r>
            <w:r w:rsidRPr="00DA353D">
              <w:rPr>
                <w:rFonts w:ascii="Garamond" w:hAnsi="Garamond"/>
                <w:bCs/>
                <w:sz w:val="24"/>
              </w:rPr>
              <w:t xml:space="preserve">ompliance </w:t>
            </w:r>
            <w:r w:rsidRPr="0080220E">
              <w:rPr>
                <w:rFonts w:ascii="Garamond" w:hAnsi="Garamond"/>
                <w:bCs/>
                <w:sz w:val="24"/>
              </w:rPr>
              <w:t>R</w:t>
            </w:r>
            <w:r w:rsidRPr="00DA353D">
              <w:rPr>
                <w:rFonts w:ascii="Garamond" w:hAnsi="Garamond"/>
                <w:bCs/>
                <w:sz w:val="24"/>
              </w:rPr>
              <w:t xml:space="preserve">eport. </w:t>
            </w:r>
          </w:p>
          <w:p w14:paraId="50A352F7" w14:textId="3028A1FA" w:rsidR="000857E8" w:rsidRPr="00DA353D" w:rsidRDefault="000857E8" w:rsidP="00DA353D">
            <w:pPr>
              <w:pStyle w:val="ListParagraph"/>
              <w:numPr>
                <w:ilvl w:val="0"/>
                <w:numId w:val="37"/>
              </w:numPr>
              <w:spacing w:after="120"/>
              <w:rPr>
                <w:rFonts w:ascii="Garamond" w:hAnsi="Garamond"/>
                <w:bCs/>
                <w:sz w:val="24"/>
              </w:rPr>
            </w:pPr>
            <w:r w:rsidRPr="00DA353D">
              <w:rPr>
                <w:rFonts w:ascii="Garamond" w:hAnsi="Garamond"/>
                <w:bCs/>
                <w:sz w:val="24"/>
              </w:rPr>
              <w:t>For PCC 0 claims</w:t>
            </w:r>
            <w:r w:rsidRPr="0080220E">
              <w:rPr>
                <w:rFonts w:ascii="Garamond" w:hAnsi="Garamond"/>
                <w:bCs/>
                <w:sz w:val="24"/>
              </w:rPr>
              <w:t>,</w:t>
            </w:r>
            <w:r w:rsidRPr="00DA353D">
              <w:rPr>
                <w:rFonts w:ascii="Garamond" w:hAnsi="Garamond"/>
                <w:bCs/>
                <w:sz w:val="24"/>
              </w:rPr>
              <w:t xml:space="preserve"> all CCAs/ESPs will need to make a submission of all contracts executed before January 13, 201</w:t>
            </w:r>
            <w:r w:rsidRPr="0080220E">
              <w:rPr>
                <w:rFonts w:ascii="Garamond" w:hAnsi="Garamond"/>
                <w:bCs/>
                <w:sz w:val="24"/>
              </w:rPr>
              <w:t>1.</w:t>
            </w:r>
            <w:r w:rsidRPr="00DA353D">
              <w:rPr>
                <w:rFonts w:ascii="Garamond" w:hAnsi="Garamond"/>
                <w:bCs/>
                <w:sz w:val="24"/>
              </w:rPr>
              <w:t xml:space="preserve"> </w:t>
            </w:r>
            <w:r w:rsidRPr="0080220E">
              <w:rPr>
                <w:rFonts w:ascii="Garamond" w:hAnsi="Garamond"/>
                <w:bCs/>
                <w:sz w:val="24"/>
              </w:rPr>
              <w:t>S</w:t>
            </w:r>
            <w:r w:rsidRPr="00DA353D">
              <w:rPr>
                <w:rFonts w:ascii="Garamond" w:hAnsi="Garamond"/>
                <w:bCs/>
                <w:sz w:val="24"/>
              </w:rPr>
              <w:t>ee sections II.D and III.F of this report for additional information.</w:t>
            </w:r>
          </w:p>
          <w:p w14:paraId="1337076A" w14:textId="77777777" w:rsidR="000857E8" w:rsidRPr="00DA353D" w:rsidRDefault="000857E8" w:rsidP="00DA353D">
            <w:pPr>
              <w:pStyle w:val="ListParagraph"/>
              <w:tabs>
                <w:tab w:val="clear" w:pos="360"/>
              </w:tabs>
              <w:spacing w:after="0"/>
              <w:ind w:left="360" w:right="255"/>
              <w:jc w:val="both"/>
              <w:rPr>
                <w:rFonts w:ascii="Garamond" w:hAnsi="Garamond"/>
                <w:bCs/>
                <w:sz w:val="24"/>
              </w:rPr>
            </w:pPr>
          </w:p>
        </w:tc>
      </w:tr>
    </w:tbl>
    <w:p w14:paraId="7AC24147" w14:textId="77777777" w:rsidR="00C25DC3" w:rsidRPr="0080220E" w:rsidRDefault="00C25DC3" w:rsidP="00C25DC3">
      <w:pPr>
        <w:spacing w:after="120"/>
        <w:rPr>
          <w:rFonts w:ascii="Garamond" w:hAnsi="Garamond"/>
          <w:bCs/>
          <w:sz w:val="24"/>
        </w:rPr>
      </w:pPr>
      <w:r w:rsidRPr="0080220E">
        <w:rPr>
          <w:rFonts w:ascii="Garamond" w:hAnsi="Garamond"/>
          <w:bCs/>
          <w:sz w:val="24"/>
        </w:rPr>
        <w:t xml:space="preserve"> </w:t>
      </w:r>
    </w:p>
    <w:p w14:paraId="3ED6BB52" w14:textId="77777777" w:rsidR="00C25DC3" w:rsidRPr="0080220E" w:rsidRDefault="00C25DC3" w:rsidP="00C25DC3">
      <w:pPr>
        <w:tabs>
          <w:tab w:val="clear" w:pos="360"/>
        </w:tabs>
        <w:spacing w:after="0"/>
        <w:ind w:right="255"/>
        <w:rPr>
          <w:rFonts w:ascii="Garamond" w:hAnsi="Garamond"/>
          <w:bCs/>
          <w:sz w:val="24"/>
        </w:rPr>
      </w:pPr>
    </w:p>
    <w:p w14:paraId="4EDD0A29" w14:textId="77777777" w:rsidR="00C25DC3" w:rsidRPr="00DA353D" w:rsidRDefault="00C25DC3" w:rsidP="00C25DC3">
      <w:pPr>
        <w:spacing w:after="120"/>
        <w:jc w:val="center"/>
        <w:rPr>
          <w:rFonts w:ascii="Garamond" w:hAnsi="Garamond"/>
          <w:bCs/>
          <w:sz w:val="24"/>
        </w:rPr>
      </w:pPr>
    </w:p>
    <w:p w14:paraId="795B8401" w14:textId="71354A52" w:rsidR="000857E8" w:rsidRPr="00DA353D" w:rsidRDefault="000857E8" w:rsidP="00C25DC3">
      <w:pPr>
        <w:spacing w:after="120"/>
        <w:jc w:val="center"/>
        <w:rPr>
          <w:rFonts w:ascii="Garamond" w:hAnsi="Garamond"/>
          <w:bCs/>
          <w:sz w:val="24"/>
        </w:rPr>
      </w:pPr>
    </w:p>
    <w:p w14:paraId="247129E5" w14:textId="246104A5" w:rsidR="000857E8" w:rsidRPr="00DA353D" w:rsidRDefault="000857E8" w:rsidP="00C25DC3">
      <w:pPr>
        <w:spacing w:after="120"/>
        <w:jc w:val="center"/>
        <w:rPr>
          <w:rFonts w:ascii="Garamond" w:hAnsi="Garamond"/>
          <w:bCs/>
          <w:sz w:val="24"/>
        </w:rPr>
      </w:pPr>
    </w:p>
    <w:p w14:paraId="38FBE83D" w14:textId="33092BC7" w:rsidR="000857E8" w:rsidRPr="00DA353D" w:rsidRDefault="000857E8" w:rsidP="00C25DC3">
      <w:pPr>
        <w:spacing w:after="120"/>
        <w:jc w:val="center"/>
        <w:rPr>
          <w:rFonts w:ascii="Garamond" w:hAnsi="Garamond"/>
          <w:bCs/>
          <w:sz w:val="24"/>
        </w:rPr>
      </w:pPr>
    </w:p>
    <w:p w14:paraId="01E12CF1" w14:textId="042858C8" w:rsidR="000857E8" w:rsidRPr="00DA353D" w:rsidRDefault="000857E8" w:rsidP="00C25DC3">
      <w:pPr>
        <w:spacing w:after="120"/>
        <w:jc w:val="center"/>
        <w:rPr>
          <w:rFonts w:ascii="Garamond" w:hAnsi="Garamond"/>
          <w:bCs/>
          <w:sz w:val="24"/>
        </w:rPr>
      </w:pPr>
    </w:p>
    <w:p w14:paraId="1AE2B212" w14:textId="4C2B70B4" w:rsidR="000857E8" w:rsidRPr="00DA353D" w:rsidRDefault="000857E8" w:rsidP="00C25DC3">
      <w:pPr>
        <w:spacing w:after="120"/>
        <w:jc w:val="center"/>
        <w:rPr>
          <w:rFonts w:ascii="Garamond" w:hAnsi="Garamond"/>
          <w:bCs/>
          <w:sz w:val="24"/>
        </w:rPr>
      </w:pPr>
    </w:p>
    <w:p w14:paraId="398F8A20" w14:textId="77777777" w:rsidR="000857E8" w:rsidRPr="00DA353D" w:rsidRDefault="000857E8" w:rsidP="00C25DC3">
      <w:pPr>
        <w:spacing w:after="120"/>
        <w:jc w:val="center"/>
        <w:rPr>
          <w:rFonts w:ascii="Garamond" w:hAnsi="Garamond"/>
          <w:bCs/>
          <w:sz w:val="24"/>
        </w:rPr>
      </w:pPr>
    </w:p>
    <w:p w14:paraId="56334CA3" w14:textId="77777777" w:rsidR="00C25DC3" w:rsidRPr="00DA353D" w:rsidRDefault="00C25DC3" w:rsidP="00C25DC3">
      <w:pPr>
        <w:spacing w:after="120"/>
        <w:jc w:val="center"/>
        <w:rPr>
          <w:rFonts w:ascii="Garamond" w:hAnsi="Garamond"/>
          <w:bCs/>
          <w:sz w:val="24"/>
        </w:rPr>
      </w:pPr>
    </w:p>
    <w:p w14:paraId="1C3DBB12" w14:textId="227676E9" w:rsidR="00C25DC3" w:rsidRPr="00DA353D" w:rsidRDefault="0080220E" w:rsidP="00DA353D">
      <w:pPr>
        <w:pStyle w:val="Heading1"/>
      </w:pPr>
      <w:bookmarkStart w:id="38" w:name="_Toc40196449"/>
      <w:r w:rsidRPr="00FC0D23">
        <w:lastRenderedPageBreak/>
        <w:t>Appendix A: Matrix of Revisions Incorporated in the PCC Classification Methodology</w:t>
      </w:r>
      <w:bookmarkEnd w:id="38"/>
      <w:r w:rsidRPr="00FC0D23">
        <w:t xml:space="preserve"> </w:t>
      </w:r>
      <w:bookmarkStart w:id="39" w:name="_Toc40196420"/>
      <w:bookmarkStart w:id="40" w:name="_Toc40196450"/>
      <w:bookmarkStart w:id="41" w:name="_Toc40196421"/>
      <w:bookmarkStart w:id="42" w:name="_Toc40196451"/>
      <w:bookmarkStart w:id="43" w:name="_Toc40196422"/>
      <w:bookmarkStart w:id="44" w:name="_Toc40196452"/>
      <w:bookmarkStart w:id="45" w:name="_Toc40196423"/>
      <w:bookmarkStart w:id="46" w:name="_Toc40196453"/>
      <w:bookmarkStart w:id="47" w:name="_Toc40196424"/>
      <w:bookmarkStart w:id="48" w:name="_Toc40196454"/>
      <w:bookmarkStart w:id="49" w:name="_Toc40196425"/>
      <w:bookmarkStart w:id="50" w:name="_Toc40196455"/>
      <w:bookmarkStart w:id="51" w:name="_Toc40196426"/>
      <w:bookmarkStart w:id="52" w:name="_Toc40196456"/>
      <w:bookmarkStart w:id="53" w:name="_Toc4019645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73E4F79" w14:textId="77777777" w:rsidR="00C25DC3" w:rsidRPr="0080220E" w:rsidRDefault="00C25DC3" w:rsidP="00C25DC3">
      <w:pPr>
        <w:spacing w:after="120"/>
        <w:jc w:val="both"/>
        <w:rPr>
          <w:rFonts w:ascii="Garamond" w:hAnsi="Garamond"/>
          <w:bCs/>
          <w:sz w:val="24"/>
        </w:rPr>
      </w:pPr>
      <w:r w:rsidRPr="0080220E">
        <w:rPr>
          <w:rFonts w:ascii="Garamond" w:hAnsi="Garamond"/>
          <w:bCs/>
          <w:sz w:val="24"/>
        </w:rPr>
        <w:t>Revisions are based on stakeholder feedback provided through informal comments provided on the revised PCC Staff Proposal that was served to the R.11-05-005 service list on February 14, 2014.</w:t>
      </w:r>
    </w:p>
    <w:p w14:paraId="7C7B95B1" w14:textId="154FFBC5" w:rsidR="00C25DC3" w:rsidRPr="0080220E" w:rsidRDefault="00C25DC3" w:rsidP="00C25DC3">
      <w:pPr>
        <w:tabs>
          <w:tab w:val="clear" w:pos="360"/>
        </w:tabs>
        <w:suppressAutoHyphens w:val="0"/>
        <w:spacing w:after="0"/>
        <w:jc w:val="center"/>
        <w:rPr>
          <w:rFonts w:ascii="Garamond" w:hAnsi="Garamond"/>
          <w:bCs/>
          <w:sz w:val="24"/>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536"/>
        <w:gridCol w:w="5016"/>
        <w:gridCol w:w="2430"/>
      </w:tblGrid>
      <w:tr w:rsidR="00DA353D" w:rsidRPr="0080220E" w14:paraId="5F94265F" w14:textId="77777777" w:rsidTr="001778E9">
        <w:trPr>
          <w:trHeight w:val="600"/>
          <w:tblHeader/>
        </w:trPr>
        <w:tc>
          <w:tcPr>
            <w:tcW w:w="11160" w:type="dxa"/>
            <w:gridSpan w:val="4"/>
            <w:shd w:val="clear" w:color="auto" w:fill="auto"/>
            <w:vAlign w:val="center"/>
          </w:tcPr>
          <w:p w14:paraId="6C0038E9" w14:textId="3FFBA9C8" w:rsidR="00DA353D" w:rsidRPr="00DA353D" w:rsidRDefault="00DA353D" w:rsidP="00515FA6">
            <w:pPr>
              <w:spacing w:after="120"/>
              <w:jc w:val="center"/>
              <w:rPr>
                <w:rFonts w:ascii="Garamond" w:hAnsi="Garamond"/>
                <w:b/>
                <w:sz w:val="24"/>
              </w:rPr>
            </w:pPr>
            <w:r w:rsidRPr="00DA353D">
              <w:rPr>
                <w:rFonts w:ascii="Garamond" w:hAnsi="Garamond"/>
                <w:b/>
                <w:sz w:val="28"/>
                <w:szCs w:val="28"/>
              </w:rPr>
              <w:t xml:space="preserve">Matrix of Revisions to the PCC Review Methodology – 2014 </w:t>
            </w:r>
          </w:p>
        </w:tc>
      </w:tr>
      <w:tr w:rsidR="00C25DC3" w:rsidRPr="0080220E" w14:paraId="50631A26" w14:textId="77777777" w:rsidTr="00515FA6">
        <w:trPr>
          <w:trHeight w:val="600"/>
          <w:tblHeader/>
        </w:trPr>
        <w:tc>
          <w:tcPr>
            <w:tcW w:w="2178" w:type="dxa"/>
            <w:tcBorders>
              <w:right w:val="nil"/>
            </w:tcBorders>
            <w:shd w:val="clear" w:color="auto" w:fill="A6A6A6"/>
            <w:vAlign w:val="center"/>
            <w:hideMark/>
          </w:tcPr>
          <w:p w14:paraId="2C2AA51B" w14:textId="77777777" w:rsidR="00C25DC3" w:rsidRPr="00DA353D" w:rsidRDefault="00C25DC3" w:rsidP="00515FA6">
            <w:pPr>
              <w:spacing w:after="120"/>
              <w:jc w:val="center"/>
              <w:rPr>
                <w:rFonts w:ascii="Garamond" w:hAnsi="Garamond"/>
                <w:bCs/>
                <w:color w:val="FFFFFF"/>
                <w:sz w:val="24"/>
              </w:rPr>
            </w:pPr>
          </w:p>
        </w:tc>
        <w:tc>
          <w:tcPr>
            <w:tcW w:w="1536" w:type="dxa"/>
            <w:tcBorders>
              <w:left w:val="nil"/>
              <w:right w:val="nil"/>
            </w:tcBorders>
            <w:shd w:val="clear" w:color="auto" w:fill="A6A6A6"/>
            <w:vAlign w:val="center"/>
            <w:hideMark/>
          </w:tcPr>
          <w:p w14:paraId="7B0CD5BF"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Commenting Party</w:t>
            </w:r>
          </w:p>
        </w:tc>
        <w:tc>
          <w:tcPr>
            <w:tcW w:w="5016" w:type="dxa"/>
            <w:tcBorders>
              <w:left w:val="nil"/>
              <w:right w:val="nil"/>
            </w:tcBorders>
            <w:shd w:val="clear" w:color="auto" w:fill="A6A6A6"/>
            <w:vAlign w:val="center"/>
            <w:hideMark/>
          </w:tcPr>
          <w:p w14:paraId="3670F188"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Change Requested</w:t>
            </w:r>
          </w:p>
        </w:tc>
        <w:tc>
          <w:tcPr>
            <w:tcW w:w="2430" w:type="dxa"/>
            <w:tcBorders>
              <w:left w:val="nil"/>
            </w:tcBorders>
            <w:shd w:val="clear" w:color="auto" w:fill="A6A6A6"/>
            <w:vAlign w:val="center"/>
            <w:hideMark/>
          </w:tcPr>
          <w:p w14:paraId="25EEACAC"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Energy Division Solution</w:t>
            </w:r>
          </w:p>
        </w:tc>
      </w:tr>
      <w:tr w:rsidR="00C25DC3" w:rsidRPr="0080220E" w14:paraId="31BE8D8F" w14:textId="77777777" w:rsidTr="00515FA6">
        <w:trPr>
          <w:trHeight w:val="350"/>
        </w:trPr>
        <w:tc>
          <w:tcPr>
            <w:tcW w:w="2178" w:type="dxa"/>
            <w:vMerge w:val="restart"/>
            <w:shd w:val="clear" w:color="auto" w:fill="auto"/>
            <w:vAlign w:val="center"/>
          </w:tcPr>
          <w:p w14:paraId="04EF1194"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e-Tag Summary Report</w:t>
            </w:r>
          </w:p>
        </w:tc>
        <w:tc>
          <w:tcPr>
            <w:tcW w:w="1536" w:type="dxa"/>
            <w:shd w:val="clear" w:color="auto" w:fill="auto"/>
            <w:noWrap/>
            <w:vAlign w:val="center"/>
          </w:tcPr>
          <w:p w14:paraId="62821236"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33018B58" w14:textId="4FB7B781" w:rsidR="00C25DC3" w:rsidRPr="0080220E" w:rsidRDefault="00D22712" w:rsidP="00515FA6">
            <w:pPr>
              <w:spacing w:after="120"/>
              <w:rPr>
                <w:rFonts w:ascii="Garamond" w:hAnsi="Garamond"/>
                <w:bCs/>
                <w:sz w:val="24"/>
              </w:rPr>
            </w:pPr>
            <w:r w:rsidRPr="0080220E">
              <w:rPr>
                <w:rFonts w:ascii="Garamond" w:hAnsi="Garamond"/>
                <w:bCs/>
                <w:sz w:val="24"/>
              </w:rPr>
              <w:t xml:space="preserve">The definition of </w:t>
            </w:r>
            <w:r>
              <w:rPr>
                <w:rFonts w:ascii="Garamond" w:hAnsi="Garamond"/>
                <w:bCs/>
                <w:sz w:val="24"/>
              </w:rPr>
              <w:t xml:space="preserve"> "</w:t>
            </w:r>
            <w:r w:rsidRPr="0080220E">
              <w:rPr>
                <w:rFonts w:ascii="Garamond" w:hAnsi="Garamond"/>
                <w:bCs/>
                <w:sz w:val="24"/>
              </w:rPr>
              <w:t xml:space="preserve">Used MWh” indicates the “Used MWH” amount should not be higher than the sum of the lesser of the hourly generation and hourly final schedule amounts for the timeframe on the e-Tag, but may include the accumulated kWh. </w:t>
            </w:r>
            <w:r w:rsidR="00C25DC3" w:rsidRPr="0080220E">
              <w:rPr>
                <w:rFonts w:ascii="Garamond" w:hAnsi="Garamond"/>
                <w:bCs/>
                <w:sz w:val="24"/>
              </w:rPr>
              <w:t>PG&amp;E seeks clarification of the meaning of “accumulated kWh” in this context.</w:t>
            </w:r>
          </w:p>
        </w:tc>
        <w:tc>
          <w:tcPr>
            <w:tcW w:w="2430" w:type="dxa"/>
            <w:shd w:val="clear" w:color="auto" w:fill="auto"/>
            <w:vAlign w:val="center"/>
          </w:tcPr>
          <w:p w14:paraId="5D4B6DC2" w14:textId="77777777" w:rsidR="00C25DC3" w:rsidRPr="0080220E" w:rsidRDefault="00C25DC3" w:rsidP="00515FA6">
            <w:pPr>
              <w:spacing w:after="120"/>
              <w:rPr>
                <w:rFonts w:ascii="Garamond" w:hAnsi="Garamond"/>
                <w:bCs/>
                <w:sz w:val="24"/>
              </w:rPr>
            </w:pPr>
            <w:r w:rsidRPr="0080220E">
              <w:rPr>
                <w:rFonts w:ascii="Garamond" w:hAnsi="Garamond"/>
                <w:bCs/>
                <w:sz w:val="24"/>
              </w:rPr>
              <w:t>A footnote has been added on p. 14 to clarify the definition of “Used MWh.”</w:t>
            </w:r>
          </w:p>
        </w:tc>
      </w:tr>
      <w:tr w:rsidR="00C25DC3" w:rsidRPr="0080220E" w14:paraId="0CECE677" w14:textId="77777777" w:rsidTr="00515FA6">
        <w:trPr>
          <w:trHeight w:val="350"/>
        </w:trPr>
        <w:tc>
          <w:tcPr>
            <w:tcW w:w="2178" w:type="dxa"/>
            <w:vMerge/>
            <w:shd w:val="clear" w:color="auto" w:fill="auto"/>
            <w:vAlign w:val="center"/>
            <w:hideMark/>
          </w:tcPr>
          <w:p w14:paraId="764977DE"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hideMark/>
          </w:tcPr>
          <w:p w14:paraId="7B888671" w14:textId="77777777" w:rsidR="00C25DC3" w:rsidRPr="0080220E" w:rsidRDefault="00C25DC3" w:rsidP="00515FA6">
            <w:pPr>
              <w:spacing w:after="120"/>
              <w:rPr>
                <w:rFonts w:ascii="Garamond" w:hAnsi="Garamond"/>
                <w:bCs/>
                <w:sz w:val="24"/>
              </w:rPr>
            </w:pPr>
            <w:r w:rsidRPr="0080220E">
              <w:rPr>
                <w:rFonts w:ascii="Garamond" w:hAnsi="Garamond"/>
                <w:bCs/>
                <w:sz w:val="24"/>
              </w:rPr>
              <w:t xml:space="preserve">SDG&amp;E </w:t>
            </w:r>
          </w:p>
        </w:tc>
        <w:tc>
          <w:tcPr>
            <w:tcW w:w="5016" w:type="dxa"/>
            <w:shd w:val="clear" w:color="auto" w:fill="auto"/>
            <w:vAlign w:val="center"/>
            <w:hideMark/>
          </w:tcPr>
          <w:p w14:paraId="3F9A9490" w14:textId="77777777" w:rsidR="00C25DC3" w:rsidRPr="0080220E" w:rsidRDefault="00C25DC3" w:rsidP="00515FA6">
            <w:pPr>
              <w:spacing w:after="120"/>
              <w:rPr>
                <w:rFonts w:ascii="Garamond" w:hAnsi="Garamond"/>
                <w:bCs/>
                <w:sz w:val="24"/>
              </w:rPr>
            </w:pPr>
            <w:r w:rsidRPr="0080220E">
              <w:rPr>
                <w:rFonts w:ascii="Garamond" w:hAnsi="Garamond"/>
                <w:bCs/>
                <w:sz w:val="24"/>
              </w:rPr>
              <w:t>The Excel spreadsheet provided does not include the “Miscellaneous Token Field RPS_ID” field listed in the Proposal.</w:t>
            </w:r>
          </w:p>
        </w:tc>
        <w:tc>
          <w:tcPr>
            <w:tcW w:w="2430" w:type="dxa"/>
            <w:shd w:val="clear" w:color="auto" w:fill="auto"/>
            <w:vAlign w:val="center"/>
            <w:hideMark/>
          </w:tcPr>
          <w:p w14:paraId="2842275D" w14:textId="77777777" w:rsidR="00C25DC3" w:rsidRPr="0080220E" w:rsidRDefault="00C25DC3" w:rsidP="00515FA6">
            <w:pPr>
              <w:spacing w:after="120"/>
              <w:rPr>
                <w:rFonts w:ascii="Garamond" w:hAnsi="Garamond"/>
                <w:bCs/>
                <w:sz w:val="24"/>
              </w:rPr>
            </w:pPr>
            <w:r w:rsidRPr="0080220E">
              <w:rPr>
                <w:rFonts w:ascii="Garamond" w:hAnsi="Garamond"/>
                <w:bCs/>
                <w:sz w:val="24"/>
              </w:rPr>
              <w:t>The e-Tag Summary spreadsheet has been modified to include this field.</w:t>
            </w:r>
          </w:p>
        </w:tc>
      </w:tr>
      <w:tr w:rsidR="00C25DC3" w:rsidRPr="0080220E" w14:paraId="50AAD0F3" w14:textId="77777777" w:rsidTr="00515FA6">
        <w:trPr>
          <w:trHeight w:val="3300"/>
        </w:trPr>
        <w:tc>
          <w:tcPr>
            <w:tcW w:w="2178" w:type="dxa"/>
            <w:tcBorders>
              <w:bottom w:val="nil"/>
            </w:tcBorders>
            <w:shd w:val="clear" w:color="auto" w:fill="auto"/>
            <w:vAlign w:val="center"/>
            <w:hideMark/>
          </w:tcPr>
          <w:p w14:paraId="7752283D" w14:textId="77777777" w:rsidR="00C25DC3" w:rsidRPr="0080220E" w:rsidRDefault="00C25DC3" w:rsidP="00515FA6">
            <w:pPr>
              <w:spacing w:after="120"/>
              <w:jc w:val="center"/>
              <w:rPr>
                <w:rFonts w:ascii="Garamond" w:hAnsi="Garamond"/>
                <w:bCs/>
                <w:sz w:val="24"/>
              </w:rPr>
            </w:pPr>
          </w:p>
          <w:p w14:paraId="25DE912A" w14:textId="77777777" w:rsidR="00C25DC3" w:rsidRPr="0080220E" w:rsidRDefault="00C25DC3" w:rsidP="00515FA6">
            <w:pPr>
              <w:spacing w:after="120"/>
              <w:jc w:val="center"/>
              <w:rPr>
                <w:rFonts w:ascii="Garamond" w:hAnsi="Garamond"/>
                <w:bCs/>
                <w:sz w:val="24"/>
              </w:rPr>
            </w:pPr>
          </w:p>
          <w:p w14:paraId="6673CC66" w14:textId="77777777" w:rsidR="00C25DC3" w:rsidRPr="0080220E" w:rsidRDefault="00C25DC3" w:rsidP="00515FA6">
            <w:pPr>
              <w:spacing w:after="120"/>
              <w:jc w:val="center"/>
              <w:rPr>
                <w:rFonts w:ascii="Garamond" w:hAnsi="Garamond"/>
                <w:bCs/>
                <w:sz w:val="24"/>
              </w:rPr>
            </w:pPr>
          </w:p>
          <w:p w14:paraId="03756496" w14:textId="77777777" w:rsidR="00C25DC3" w:rsidRPr="0080220E" w:rsidRDefault="00C25DC3" w:rsidP="00515FA6">
            <w:pPr>
              <w:spacing w:after="120"/>
              <w:jc w:val="center"/>
              <w:rPr>
                <w:rFonts w:ascii="Garamond" w:hAnsi="Garamond"/>
                <w:bCs/>
                <w:sz w:val="24"/>
              </w:rPr>
            </w:pPr>
          </w:p>
          <w:p w14:paraId="49A087D0"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Meter and e-Tag Reconciliation Report</w:t>
            </w:r>
          </w:p>
        </w:tc>
        <w:tc>
          <w:tcPr>
            <w:tcW w:w="1536" w:type="dxa"/>
            <w:shd w:val="clear" w:color="auto" w:fill="auto"/>
            <w:noWrap/>
            <w:vAlign w:val="center"/>
            <w:hideMark/>
          </w:tcPr>
          <w:p w14:paraId="2E870EAE"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0E4AF411" w14:textId="77777777" w:rsidR="00C25DC3" w:rsidRPr="0080220E" w:rsidRDefault="00C25DC3" w:rsidP="00515FA6">
            <w:pPr>
              <w:spacing w:after="120"/>
              <w:rPr>
                <w:rFonts w:ascii="Garamond" w:hAnsi="Garamond"/>
                <w:bCs/>
                <w:sz w:val="24"/>
              </w:rPr>
            </w:pPr>
            <w:r w:rsidRPr="0080220E">
              <w:rPr>
                <w:rFonts w:ascii="Garamond" w:hAnsi="Garamond"/>
                <w:bCs/>
                <w:sz w:val="24"/>
              </w:rPr>
              <w:t>Although on page 10 (now page 12 and 13) of the PCC Proposal provides the option to complete the RPS Hourly e-Tag Summary Report or to submit the WREGIS e-tag summary report, paragraph 1 of the instructions for the Hourly e-Tag Summary Report requires that the report be submitted for all out-of-state resources. These instructions should be amended to state that either the WREGIS report of the Hourly e-Tag support can be submitted. Should this information need to be submitted as proposed, PG&amp;E suggests creating separate tabs for each year, to keep the size of each tab manageable, if more than one year is reported in a single report.</w:t>
            </w:r>
          </w:p>
        </w:tc>
        <w:tc>
          <w:tcPr>
            <w:tcW w:w="2430" w:type="dxa"/>
            <w:shd w:val="clear" w:color="auto" w:fill="auto"/>
            <w:vAlign w:val="center"/>
            <w:hideMark/>
          </w:tcPr>
          <w:p w14:paraId="6C81F542" w14:textId="77777777" w:rsidR="00C25DC3" w:rsidRPr="0080220E" w:rsidRDefault="00C25DC3" w:rsidP="00515FA6">
            <w:pPr>
              <w:spacing w:after="120"/>
              <w:rPr>
                <w:rFonts w:ascii="Garamond" w:hAnsi="Garamond"/>
                <w:bCs/>
                <w:sz w:val="24"/>
              </w:rPr>
            </w:pPr>
            <w:r w:rsidRPr="0080220E">
              <w:rPr>
                <w:rFonts w:ascii="Garamond" w:hAnsi="Garamond"/>
                <w:bCs/>
                <w:sz w:val="24"/>
              </w:rPr>
              <w:t xml:space="preserve">Each REC reported by a retail seller needs to be represented in either the WREGIS e-Tag Summary Report or RPS Hourly e-Tag Summary Report.  Energy Division staff have modified the instructions for the Hourly e-Tag Summary Report.  </w:t>
            </w:r>
          </w:p>
        </w:tc>
      </w:tr>
      <w:tr w:rsidR="00C25DC3" w:rsidRPr="0080220E" w14:paraId="5281FF6B" w14:textId="77777777" w:rsidTr="00515FA6">
        <w:trPr>
          <w:trHeight w:val="1800"/>
        </w:trPr>
        <w:tc>
          <w:tcPr>
            <w:tcW w:w="2178" w:type="dxa"/>
            <w:tcBorders>
              <w:top w:val="nil"/>
            </w:tcBorders>
            <w:shd w:val="clear" w:color="auto" w:fill="auto"/>
            <w:vAlign w:val="center"/>
          </w:tcPr>
          <w:p w14:paraId="441ECA60" w14:textId="77777777" w:rsidR="00C25DC3" w:rsidRPr="0080220E" w:rsidRDefault="00C25DC3" w:rsidP="00515FA6">
            <w:pPr>
              <w:spacing w:after="120"/>
              <w:jc w:val="center"/>
              <w:rPr>
                <w:rFonts w:ascii="Garamond" w:hAnsi="Garamond"/>
                <w:bCs/>
                <w:sz w:val="24"/>
              </w:rPr>
            </w:pPr>
          </w:p>
          <w:p w14:paraId="6C46A561" w14:textId="77777777" w:rsidR="00C25DC3" w:rsidRPr="0080220E" w:rsidRDefault="00C25DC3" w:rsidP="00515FA6">
            <w:pPr>
              <w:spacing w:after="120"/>
              <w:jc w:val="center"/>
              <w:rPr>
                <w:rFonts w:ascii="Garamond" w:hAnsi="Garamond"/>
                <w:bCs/>
                <w:sz w:val="24"/>
              </w:rPr>
            </w:pPr>
          </w:p>
          <w:p w14:paraId="6D4378A4" w14:textId="77777777" w:rsidR="00C25DC3" w:rsidRPr="0080220E" w:rsidRDefault="00C25DC3" w:rsidP="00515FA6">
            <w:pPr>
              <w:spacing w:after="120"/>
              <w:jc w:val="center"/>
              <w:rPr>
                <w:rFonts w:ascii="Garamond" w:hAnsi="Garamond"/>
                <w:bCs/>
                <w:sz w:val="24"/>
              </w:rPr>
            </w:pPr>
          </w:p>
          <w:p w14:paraId="507815E7" w14:textId="77777777" w:rsidR="00C25DC3" w:rsidRPr="0080220E" w:rsidRDefault="00C25DC3" w:rsidP="00515FA6">
            <w:pPr>
              <w:spacing w:after="120"/>
              <w:jc w:val="center"/>
              <w:rPr>
                <w:rFonts w:ascii="Garamond" w:hAnsi="Garamond"/>
                <w:bCs/>
                <w:sz w:val="24"/>
              </w:rPr>
            </w:pPr>
          </w:p>
          <w:p w14:paraId="29ED0F2B" w14:textId="77777777" w:rsidR="00C25DC3" w:rsidRPr="0080220E" w:rsidRDefault="00C25DC3" w:rsidP="00515FA6">
            <w:pPr>
              <w:spacing w:after="120"/>
              <w:jc w:val="center"/>
              <w:rPr>
                <w:rFonts w:ascii="Garamond" w:hAnsi="Garamond"/>
                <w:bCs/>
                <w:sz w:val="24"/>
              </w:rPr>
            </w:pPr>
          </w:p>
          <w:p w14:paraId="6BCD4530" w14:textId="77777777" w:rsidR="00C25DC3" w:rsidRPr="0080220E" w:rsidRDefault="00C25DC3" w:rsidP="00DA353D">
            <w:pPr>
              <w:spacing w:after="120"/>
              <w:rPr>
                <w:rFonts w:ascii="Garamond" w:hAnsi="Garamond"/>
                <w:bCs/>
                <w:sz w:val="24"/>
              </w:rPr>
            </w:pPr>
          </w:p>
        </w:tc>
        <w:tc>
          <w:tcPr>
            <w:tcW w:w="1536" w:type="dxa"/>
            <w:shd w:val="clear" w:color="auto" w:fill="auto"/>
            <w:noWrap/>
            <w:vAlign w:val="center"/>
            <w:hideMark/>
          </w:tcPr>
          <w:p w14:paraId="3CE42D70"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18AFE3DA" w14:textId="77777777" w:rsidR="00C25DC3" w:rsidRPr="0080220E" w:rsidRDefault="00C25DC3" w:rsidP="00515FA6">
            <w:pPr>
              <w:spacing w:after="120"/>
              <w:rPr>
                <w:rFonts w:ascii="Garamond" w:hAnsi="Garamond"/>
                <w:bCs/>
                <w:sz w:val="24"/>
              </w:rPr>
            </w:pPr>
            <w:r w:rsidRPr="0080220E">
              <w:rPr>
                <w:rFonts w:ascii="Garamond" w:hAnsi="Garamond"/>
                <w:bCs/>
                <w:sz w:val="24"/>
              </w:rPr>
              <w:t>Should delineate when each of the tabs should be populated. E.g., hourly meter and e-tag reconciliation form should explicitly state that the form should only be populated for projects that are outside of CA and seeking PCC 1 status through a dynamic transfer agreement and/or scheduling arrangement</w:t>
            </w:r>
          </w:p>
        </w:tc>
        <w:tc>
          <w:tcPr>
            <w:tcW w:w="2430" w:type="dxa"/>
            <w:shd w:val="clear" w:color="auto" w:fill="auto"/>
            <w:vAlign w:val="center"/>
            <w:hideMark/>
          </w:tcPr>
          <w:p w14:paraId="2EC4E495" w14:textId="77777777" w:rsidR="00C25DC3" w:rsidRPr="0080220E" w:rsidRDefault="00C25DC3" w:rsidP="00515FA6">
            <w:pPr>
              <w:spacing w:after="120"/>
              <w:rPr>
                <w:rFonts w:ascii="Garamond" w:hAnsi="Garamond"/>
                <w:bCs/>
                <w:sz w:val="24"/>
              </w:rPr>
            </w:pPr>
            <w:r w:rsidRPr="0080220E">
              <w:rPr>
                <w:rFonts w:ascii="Garamond" w:hAnsi="Garamond"/>
                <w:bCs/>
                <w:sz w:val="24"/>
              </w:rPr>
              <w:t>Timing information is covered in section IV of this report.</w:t>
            </w:r>
          </w:p>
        </w:tc>
      </w:tr>
    </w:tbl>
    <w:p w14:paraId="60309D29" w14:textId="77777777" w:rsidR="00C25DC3" w:rsidRPr="0080220E" w:rsidRDefault="00C25DC3" w:rsidP="00C25DC3">
      <w:pPr>
        <w:rPr>
          <w:rFonts w:ascii="Garamond" w:hAnsi="Garamond"/>
          <w:bCs/>
          <w:sz w:val="24"/>
        </w:rPr>
      </w:pPr>
      <w:r w:rsidRPr="0080220E">
        <w:rPr>
          <w:rFonts w:ascii="Garamond" w:hAnsi="Garamond"/>
          <w:bCs/>
          <w:sz w:val="24"/>
        </w:rPr>
        <w:br w:type="page"/>
      </w: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536"/>
        <w:gridCol w:w="5016"/>
        <w:gridCol w:w="2430"/>
      </w:tblGrid>
      <w:tr w:rsidR="00C25DC3" w:rsidRPr="0080220E" w14:paraId="29353437" w14:textId="77777777" w:rsidTr="00515FA6">
        <w:trPr>
          <w:trHeight w:val="600"/>
          <w:tblHeader/>
        </w:trPr>
        <w:tc>
          <w:tcPr>
            <w:tcW w:w="2178" w:type="dxa"/>
            <w:tcBorders>
              <w:right w:val="nil"/>
            </w:tcBorders>
            <w:shd w:val="clear" w:color="auto" w:fill="A6A6A6"/>
            <w:vAlign w:val="center"/>
            <w:hideMark/>
          </w:tcPr>
          <w:p w14:paraId="440A204F" w14:textId="77777777" w:rsidR="00C25DC3" w:rsidRPr="00DA353D" w:rsidRDefault="00C25DC3" w:rsidP="00515FA6">
            <w:pPr>
              <w:spacing w:after="120"/>
              <w:jc w:val="center"/>
              <w:rPr>
                <w:rFonts w:ascii="Garamond" w:hAnsi="Garamond"/>
                <w:bCs/>
                <w:color w:val="FFFFFF"/>
                <w:sz w:val="24"/>
              </w:rPr>
            </w:pPr>
          </w:p>
        </w:tc>
        <w:tc>
          <w:tcPr>
            <w:tcW w:w="1536" w:type="dxa"/>
            <w:tcBorders>
              <w:left w:val="nil"/>
              <w:right w:val="nil"/>
            </w:tcBorders>
            <w:shd w:val="clear" w:color="auto" w:fill="A6A6A6"/>
            <w:vAlign w:val="center"/>
            <w:hideMark/>
          </w:tcPr>
          <w:p w14:paraId="53865E8D"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Commenting Party</w:t>
            </w:r>
          </w:p>
        </w:tc>
        <w:tc>
          <w:tcPr>
            <w:tcW w:w="5016" w:type="dxa"/>
            <w:tcBorders>
              <w:left w:val="nil"/>
              <w:right w:val="nil"/>
            </w:tcBorders>
            <w:shd w:val="clear" w:color="auto" w:fill="A6A6A6"/>
            <w:vAlign w:val="center"/>
            <w:hideMark/>
          </w:tcPr>
          <w:p w14:paraId="64E6179E"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Change Requested</w:t>
            </w:r>
          </w:p>
        </w:tc>
        <w:tc>
          <w:tcPr>
            <w:tcW w:w="2430" w:type="dxa"/>
            <w:tcBorders>
              <w:left w:val="nil"/>
            </w:tcBorders>
            <w:shd w:val="clear" w:color="auto" w:fill="A6A6A6"/>
            <w:vAlign w:val="center"/>
            <w:hideMark/>
          </w:tcPr>
          <w:p w14:paraId="6A2504C7" w14:textId="77777777" w:rsidR="00C25DC3" w:rsidRPr="00DA353D" w:rsidRDefault="00C25DC3" w:rsidP="00515FA6">
            <w:pPr>
              <w:spacing w:after="120"/>
              <w:jc w:val="center"/>
              <w:rPr>
                <w:rFonts w:ascii="Garamond" w:hAnsi="Garamond"/>
                <w:bCs/>
                <w:color w:val="FFFFFF"/>
                <w:sz w:val="24"/>
              </w:rPr>
            </w:pPr>
            <w:r w:rsidRPr="00DA353D">
              <w:rPr>
                <w:rFonts w:ascii="Garamond" w:hAnsi="Garamond"/>
                <w:bCs/>
                <w:color w:val="FFFFFF"/>
                <w:sz w:val="24"/>
              </w:rPr>
              <w:t>Energy Division Solution</w:t>
            </w:r>
          </w:p>
        </w:tc>
      </w:tr>
      <w:tr w:rsidR="00C25DC3" w:rsidRPr="0080220E" w14:paraId="3997012B" w14:textId="77777777" w:rsidTr="00515FA6">
        <w:trPr>
          <w:trHeight w:val="350"/>
        </w:trPr>
        <w:tc>
          <w:tcPr>
            <w:tcW w:w="2178" w:type="dxa"/>
            <w:shd w:val="clear" w:color="auto" w:fill="auto"/>
            <w:vAlign w:val="center"/>
            <w:hideMark/>
          </w:tcPr>
          <w:p w14:paraId="7920E75C"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Meter and e-Tag Reconciliation Report</w:t>
            </w:r>
          </w:p>
        </w:tc>
        <w:tc>
          <w:tcPr>
            <w:tcW w:w="1536" w:type="dxa"/>
            <w:shd w:val="clear" w:color="auto" w:fill="auto"/>
            <w:noWrap/>
            <w:vAlign w:val="center"/>
            <w:hideMark/>
          </w:tcPr>
          <w:p w14:paraId="7E58BC43"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2D3B62AF" w14:textId="77777777" w:rsidR="00C25DC3" w:rsidRPr="0080220E" w:rsidRDefault="00C25DC3" w:rsidP="00515FA6">
            <w:pPr>
              <w:spacing w:after="120"/>
              <w:rPr>
                <w:rFonts w:ascii="Garamond" w:hAnsi="Garamond"/>
                <w:bCs/>
                <w:sz w:val="24"/>
              </w:rPr>
            </w:pPr>
            <w:r w:rsidRPr="0080220E">
              <w:rPr>
                <w:rFonts w:ascii="Garamond" w:hAnsi="Garamond"/>
                <w:bCs/>
                <w:sz w:val="24"/>
              </w:rPr>
              <w:t>PG&amp;E suggests that this report include separate tabs for each year to keep the size of each tab manageable.</w:t>
            </w:r>
          </w:p>
        </w:tc>
        <w:tc>
          <w:tcPr>
            <w:tcW w:w="2430" w:type="dxa"/>
            <w:shd w:val="clear" w:color="auto" w:fill="auto"/>
            <w:vAlign w:val="center"/>
            <w:hideMark/>
          </w:tcPr>
          <w:p w14:paraId="5A458F4A" w14:textId="77777777" w:rsidR="00C25DC3" w:rsidRPr="0080220E" w:rsidRDefault="00C25DC3" w:rsidP="00515FA6">
            <w:pPr>
              <w:spacing w:after="120"/>
              <w:rPr>
                <w:rFonts w:ascii="Garamond" w:hAnsi="Garamond"/>
                <w:bCs/>
                <w:sz w:val="24"/>
              </w:rPr>
            </w:pPr>
            <w:r w:rsidRPr="0080220E">
              <w:rPr>
                <w:rFonts w:ascii="Garamond" w:hAnsi="Garamond"/>
                <w:bCs/>
                <w:sz w:val="24"/>
              </w:rPr>
              <w:t>Energy Division have modified the “Meter and e-Tag Reconciliation Report” spreadsheet instructions to instruct retail sellers to include one tab per year.</w:t>
            </w:r>
          </w:p>
        </w:tc>
      </w:tr>
      <w:tr w:rsidR="00C25DC3" w:rsidRPr="0080220E" w14:paraId="3F902D49" w14:textId="77777777" w:rsidTr="00515FA6">
        <w:trPr>
          <w:trHeight w:val="3300"/>
        </w:trPr>
        <w:tc>
          <w:tcPr>
            <w:tcW w:w="2178" w:type="dxa"/>
            <w:shd w:val="clear" w:color="auto" w:fill="auto"/>
            <w:vAlign w:val="center"/>
            <w:hideMark/>
          </w:tcPr>
          <w:p w14:paraId="7114AF0D"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Procurement Detail Tab</w:t>
            </w:r>
          </w:p>
        </w:tc>
        <w:tc>
          <w:tcPr>
            <w:tcW w:w="1536" w:type="dxa"/>
            <w:shd w:val="clear" w:color="auto" w:fill="auto"/>
            <w:noWrap/>
            <w:vAlign w:val="center"/>
            <w:hideMark/>
          </w:tcPr>
          <w:p w14:paraId="418C7D29"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45AA560D" w14:textId="77777777" w:rsidR="00C25DC3" w:rsidRPr="0080220E" w:rsidRDefault="00C25DC3" w:rsidP="00515FA6">
            <w:pPr>
              <w:spacing w:after="120"/>
              <w:rPr>
                <w:rFonts w:ascii="Garamond" w:hAnsi="Garamond"/>
                <w:bCs/>
                <w:sz w:val="24"/>
              </w:rPr>
            </w:pPr>
            <w:r w:rsidRPr="0080220E">
              <w:rPr>
                <w:rFonts w:ascii="Garamond" w:hAnsi="Garamond"/>
                <w:bCs/>
                <w:sz w:val="24"/>
              </w:rPr>
              <w:t>Although the instructions for the “Fixed Volume Contract Amount (MWH) indicate that this field only relates to contracts where a retail seller has contracted for a fixed volume basis, if this field is left blank, the “Percent Share of Facility Output (%)” in the column H, “Allocated Meter” in the column I and “Eligible PPC 1 Volume” in the column K immediately to the right becomes zero. This seems to be a formula error, as these columns should only come into play if there is a non-zero value. The formula should be revised so that a null value in the “Fixed Volume Contract” column doesn’t impact the PCC 1 calculation.</w:t>
            </w:r>
          </w:p>
        </w:tc>
        <w:tc>
          <w:tcPr>
            <w:tcW w:w="2430" w:type="dxa"/>
            <w:shd w:val="clear" w:color="auto" w:fill="auto"/>
            <w:vAlign w:val="center"/>
            <w:hideMark/>
          </w:tcPr>
          <w:p w14:paraId="32B4077E" w14:textId="77777777" w:rsidR="00C25DC3" w:rsidRPr="0080220E" w:rsidRDefault="00C25DC3" w:rsidP="00515FA6">
            <w:pPr>
              <w:spacing w:after="120"/>
              <w:rPr>
                <w:rFonts w:ascii="Garamond" w:hAnsi="Garamond"/>
                <w:bCs/>
                <w:sz w:val="24"/>
              </w:rPr>
            </w:pPr>
            <w:r w:rsidRPr="0080220E">
              <w:rPr>
                <w:rFonts w:ascii="Garamond" w:hAnsi="Garamond"/>
                <w:bCs/>
                <w:sz w:val="24"/>
              </w:rPr>
              <w:t>The formula “Procurement Detail” spreadsheet tab that calculates “Fixed Volume” has been modified according to PG&amp;E’s suggestion.</w:t>
            </w:r>
          </w:p>
        </w:tc>
      </w:tr>
      <w:tr w:rsidR="00C25DC3" w:rsidRPr="0080220E" w14:paraId="6E7A4A0C" w14:textId="77777777" w:rsidTr="00515FA6">
        <w:trPr>
          <w:trHeight w:val="620"/>
        </w:trPr>
        <w:tc>
          <w:tcPr>
            <w:tcW w:w="2178" w:type="dxa"/>
            <w:vMerge w:val="restart"/>
            <w:shd w:val="clear" w:color="auto" w:fill="auto"/>
            <w:vAlign w:val="center"/>
          </w:tcPr>
          <w:p w14:paraId="1926326C"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Review of PCC 1</w:t>
            </w:r>
          </w:p>
        </w:tc>
        <w:tc>
          <w:tcPr>
            <w:tcW w:w="1536" w:type="dxa"/>
            <w:shd w:val="clear" w:color="auto" w:fill="auto"/>
            <w:noWrap/>
            <w:vAlign w:val="center"/>
            <w:hideMark/>
          </w:tcPr>
          <w:p w14:paraId="69691819"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7FCE6021" w14:textId="00A41D72" w:rsidR="00C25DC3" w:rsidRPr="0080220E" w:rsidRDefault="00C25DC3" w:rsidP="00515FA6">
            <w:pPr>
              <w:spacing w:after="120"/>
              <w:rPr>
                <w:rFonts w:ascii="Garamond" w:hAnsi="Garamond"/>
                <w:bCs/>
                <w:sz w:val="24"/>
              </w:rPr>
            </w:pPr>
            <w:r w:rsidRPr="0080220E">
              <w:rPr>
                <w:rFonts w:ascii="Garamond" w:hAnsi="Garamond"/>
                <w:bCs/>
                <w:sz w:val="24"/>
              </w:rPr>
              <w:t>As discussed in PG&amp;E’s introductory observations above, the PCC Proposal appears to require that dynamic transfer contracts that are not grandfathered would have to provide all the hourly metering/e-Tag forms required of non-</w:t>
            </w:r>
            <w:r w:rsidR="00D22712" w:rsidRPr="0080220E">
              <w:rPr>
                <w:rFonts w:ascii="Garamond" w:hAnsi="Garamond"/>
                <w:bCs/>
                <w:sz w:val="24"/>
              </w:rPr>
              <w:t>dynamically transferred</w:t>
            </w:r>
            <w:r w:rsidRPr="0080220E">
              <w:rPr>
                <w:rFonts w:ascii="Garamond" w:hAnsi="Garamond"/>
                <w:bCs/>
                <w:sz w:val="24"/>
              </w:rPr>
              <w:t xml:space="preserve"> PCC 1 out-of-state generation. The RPS Statute treats dynamically transferred output as distinct from out-of-state generation that is imported without a dynamic transfer</w:t>
            </w:r>
          </w:p>
        </w:tc>
        <w:tc>
          <w:tcPr>
            <w:tcW w:w="2430" w:type="dxa"/>
            <w:shd w:val="clear" w:color="auto" w:fill="auto"/>
            <w:vAlign w:val="center"/>
            <w:hideMark/>
          </w:tcPr>
          <w:p w14:paraId="2B4AC528" w14:textId="77777777" w:rsidR="00C25DC3" w:rsidRPr="0080220E" w:rsidRDefault="00C25DC3" w:rsidP="00515FA6">
            <w:pPr>
              <w:spacing w:after="120"/>
              <w:rPr>
                <w:rFonts w:ascii="Garamond" w:hAnsi="Garamond"/>
                <w:bCs/>
                <w:sz w:val="24"/>
              </w:rPr>
            </w:pPr>
            <w:r w:rsidRPr="0080220E">
              <w:rPr>
                <w:rFonts w:ascii="Garamond" w:hAnsi="Garamond"/>
                <w:bCs/>
                <w:sz w:val="24"/>
              </w:rPr>
              <w:t>Contracts with dynamic schedules are required to provide an “Hourly Meter and e-Tag” analysis, however, contracts that use pseudo ties to deliver electricity do not need to provide an “Hourly Meter and e-Tag” analysis. This is discussed in greater detail in Appendix B.</w:t>
            </w:r>
          </w:p>
        </w:tc>
      </w:tr>
      <w:tr w:rsidR="00C25DC3" w:rsidRPr="0080220E" w14:paraId="10AA0711" w14:textId="77777777" w:rsidTr="00515FA6">
        <w:trPr>
          <w:trHeight w:val="900"/>
        </w:trPr>
        <w:tc>
          <w:tcPr>
            <w:tcW w:w="2178" w:type="dxa"/>
            <w:vMerge/>
            <w:shd w:val="clear" w:color="auto" w:fill="auto"/>
            <w:vAlign w:val="center"/>
          </w:tcPr>
          <w:p w14:paraId="6477A93D"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hideMark/>
          </w:tcPr>
          <w:p w14:paraId="5DA4852A" w14:textId="77777777" w:rsidR="00C25DC3" w:rsidRPr="0080220E" w:rsidRDefault="00C25DC3" w:rsidP="00515FA6">
            <w:pPr>
              <w:spacing w:after="120"/>
              <w:rPr>
                <w:rFonts w:ascii="Garamond" w:hAnsi="Garamond"/>
                <w:bCs/>
                <w:sz w:val="24"/>
              </w:rPr>
            </w:pPr>
            <w:r w:rsidRPr="0080220E">
              <w:rPr>
                <w:rFonts w:ascii="Garamond" w:hAnsi="Garamond"/>
                <w:bCs/>
                <w:sz w:val="24"/>
              </w:rPr>
              <w:t>Iberdrola</w:t>
            </w:r>
          </w:p>
        </w:tc>
        <w:tc>
          <w:tcPr>
            <w:tcW w:w="5016" w:type="dxa"/>
            <w:shd w:val="clear" w:color="auto" w:fill="auto"/>
            <w:vAlign w:val="center"/>
            <w:hideMark/>
          </w:tcPr>
          <w:p w14:paraId="0B958DB4" w14:textId="77777777" w:rsidR="00C25DC3" w:rsidRPr="0080220E" w:rsidRDefault="00C25DC3" w:rsidP="00515FA6">
            <w:pPr>
              <w:spacing w:after="120"/>
              <w:rPr>
                <w:rFonts w:ascii="Garamond" w:hAnsi="Garamond"/>
                <w:bCs/>
                <w:sz w:val="24"/>
              </w:rPr>
            </w:pPr>
            <w:r w:rsidRPr="0080220E">
              <w:rPr>
                <w:rFonts w:ascii="Garamond" w:hAnsi="Garamond"/>
                <w:bCs/>
                <w:sz w:val="24"/>
              </w:rPr>
              <w:t>Recommends staff review dynamic transfers section. Iberdrola does not believe that a retail seller could execute a substitute energy agreement and then not receive energy.</w:t>
            </w:r>
          </w:p>
        </w:tc>
        <w:tc>
          <w:tcPr>
            <w:tcW w:w="2430" w:type="dxa"/>
            <w:shd w:val="clear" w:color="auto" w:fill="auto"/>
            <w:vAlign w:val="center"/>
            <w:hideMark/>
          </w:tcPr>
          <w:p w14:paraId="0369E605" w14:textId="77777777" w:rsidR="00C25DC3" w:rsidRPr="0080220E" w:rsidRDefault="00C25DC3" w:rsidP="00515FA6">
            <w:pPr>
              <w:spacing w:after="120"/>
              <w:rPr>
                <w:rFonts w:ascii="Garamond" w:hAnsi="Garamond"/>
                <w:bCs/>
                <w:sz w:val="24"/>
              </w:rPr>
            </w:pPr>
            <w:r w:rsidRPr="0080220E">
              <w:rPr>
                <w:rFonts w:ascii="Garamond" w:hAnsi="Garamond"/>
                <w:bCs/>
                <w:sz w:val="24"/>
              </w:rPr>
              <w:t xml:space="preserve">Contracts with dynamic schedules are required to provide an “Hourly Meter and e-Tag” analysis, however, contracts that use pseudo ties to deliver electricity do not need to provide an “Hourly Meter and e-Tag” </w:t>
            </w:r>
            <w:r w:rsidRPr="0080220E">
              <w:rPr>
                <w:rFonts w:ascii="Garamond" w:hAnsi="Garamond"/>
                <w:bCs/>
                <w:sz w:val="24"/>
              </w:rPr>
              <w:lastRenderedPageBreak/>
              <w:t>analysis. This is discussed in greater detail in Appendix B.</w:t>
            </w:r>
          </w:p>
        </w:tc>
      </w:tr>
      <w:tr w:rsidR="00C25DC3" w:rsidRPr="0080220E" w14:paraId="06A8E911" w14:textId="77777777" w:rsidTr="00515FA6">
        <w:trPr>
          <w:trHeight w:val="3374"/>
        </w:trPr>
        <w:tc>
          <w:tcPr>
            <w:tcW w:w="2178" w:type="dxa"/>
            <w:vMerge w:val="restart"/>
            <w:tcBorders>
              <w:bottom w:val="nil"/>
            </w:tcBorders>
            <w:shd w:val="clear" w:color="auto" w:fill="auto"/>
            <w:vAlign w:val="center"/>
          </w:tcPr>
          <w:p w14:paraId="65DDC1F5" w14:textId="77777777" w:rsidR="00C25DC3" w:rsidRPr="0080220E" w:rsidRDefault="00C25DC3" w:rsidP="00515FA6">
            <w:pPr>
              <w:spacing w:after="120"/>
              <w:jc w:val="center"/>
              <w:rPr>
                <w:rFonts w:ascii="Garamond" w:hAnsi="Garamond"/>
                <w:bCs/>
                <w:sz w:val="24"/>
              </w:rPr>
            </w:pPr>
          </w:p>
          <w:p w14:paraId="0766C958" w14:textId="77777777" w:rsidR="00C25DC3" w:rsidRPr="0080220E" w:rsidRDefault="00C25DC3" w:rsidP="00515FA6">
            <w:pPr>
              <w:spacing w:after="120"/>
              <w:jc w:val="center"/>
              <w:rPr>
                <w:rFonts w:ascii="Garamond" w:hAnsi="Garamond"/>
                <w:bCs/>
                <w:sz w:val="24"/>
              </w:rPr>
            </w:pPr>
          </w:p>
          <w:p w14:paraId="0D46F9AE" w14:textId="77777777" w:rsidR="00C25DC3" w:rsidRPr="0080220E" w:rsidRDefault="00C25DC3" w:rsidP="00515FA6">
            <w:pPr>
              <w:spacing w:after="120"/>
              <w:jc w:val="center"/>
              <w:rPr>
                <w:rFonts w:ascii="Garamond" w:hAnsi="Garamond"/>
                <w:bCs/>
                <w:sz w:val="24"/>
              </w:rPr>
            </w:pPr>
          </w:p>
          <w:p w14:paraId="76E55157" w14:textId="77777777" w:rsidR="00C25DC3" w:rsidRPr="0080220E" w:rsidRDefault="00C25DC3" w:rsidP="00515FA6">
            <w:pPr>
              <w:spacing w:after="120"/>
              <w:jc w:val="center"/>
              <w:rPr>
                <w:rFonts w:ascii="Garamond" w:hAnsi="Garamond"/>
                <w:bCs/>
                <w:sz w:val="24"/>
              </w:rPr>
            </w:pPr>
          </w:p>
          <w:p w14:paraId="566E5B3C"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Review of PCC 2</w:t>
            </w:r>
          </w:p>
          <w:p w14:paraId="62AEE489" w14:textId="77777777" w:rsidR="00C25DC3" w:rsidRPr="0080220E" w:rsidRDefault="00C25DC3" w:rsidP="00515FA6">
            <w:pPr>
              <w:spacing w:after="120"/>
              <w:jc w:val="center"/>
              <w:rPr>
                <w:rFonts w:ascii="Garamond" w:hAnsi="Garamond"/>
                <w:bCs/>
                <w:sz w:val="24"/>
              </w:rPr>
            </w:pPr>
          </w:p>
          <w:p w14:paraId="6A825081" w14:textId="77777777" w:rsidR="00C25DC3" w:rsidRPr="0080220E" w:rsidRDefault="00C25DC3" w:rsidP="00515FA6">
            <w:pPr>
              <w:spacing w:after="120"/>
              <w:jc w:val="center"/>
              <w:rPr>
                <w:rFonts w:ascii="Garamond" w:hAnsi="Garamond"/>
                <w:bCs/>
                <w:sz w:val="24"/>
              </w:rPr>
            </w:pPr>
          </w:p>
          <w:p w14:paraId="245764EB" w14:textId="77777777" w:rsidR="00C25DC3" w:rsidRPr="0080220E" w:rsidRDefault="00C25DC3" w:rsidP="00515FA6">
            <w:pPr>
              <w:spacing w:after="120"/>
              <w:jc w:val="center"/>
              <w:rPr>
                <w:rFonts w:ascii="Garamond" w:hAnsi="Garamond"/>
                <w:bCs/>
                <w:sz w:val="24"/>
              </w:rPr>
            </w:pPr>
          </w:p>
          <w:p w14:paraId="47C74F1B" w14:textId="77777777" w:rsidR="00C25DC3" w:rsidRPr="0080220E" w:rsidRDefault="00C25DC3" w:rsidP="00515FA6">
            <w:pPr>
              <w:spacing w:after="120"/>
              <w:jc w:val="center"/>
              <w:rPr>
                <w:rFonts w:ascii="Garamond" w:hAnsi="Garamond"/>
                <w:bCs/>
                <w:sz w:val="24"/>
              </w:rPr>
            </w:pPr>
          </w:p>
          <w:p w14:paraId="4432A071" w14:textId="77777777" w:rsidR="00C25DC3" w:rsidRPr="0080220E" w:rsidRDefault="00C25DC3" w:rsidP="00515FA6">
            <w:pPr>
              <w:spacing w:after="120"/>
              <w:jc w:val="center"/>
              <w:rPr>
                <w:rFonts w:ascii="Garamond" w:hAnsi="Garamond"/>
                <w:bCs/>
                <w:sz w:val="24"/>
              </w:rPr>
            </w:pPr>
          </w:p>
          <w:p w14:paraId="6541DC86" w14:textId="77777777" w:rsidR="00C25DC3" w:rsidRPr="0080220E" w:rsidRDefault="00C25DC3" w:rsidP="00515FA6">
            <w:pPr>
              <w:spacing w:after="120"/>
              <w:jc w:val="center"/>
              <w:rPr>
                <w:rFonts w:ascii="Garamond" w:hAnsi="Garamond"/>
                <w:bCs/>
                <w:sz w:val="24"/>
              </w:rPr>
            </w:pPr>
          </w:p>
          <w:p w14:paraId="2AB5F9D7" w14:textId="77777777" w:rsidR="00C25DC3" w:rsidRPr="0080220E" w:rsidRDefault="00C25DC3" w:rsidP="00515FA6">
            <w:pPr>
              <w:spacing w:after="120"/>
              <w:jc w:val="center"/>
              <w:rPr>
                <w:rFonts w:ascii="Garamond" w:hAnsi="Garamond"/>
                <w:bCs/>
                <w:sz w:val="24"/>
              </w:rPr>
            </w:pPr>
          </w:p>
          <w:p w14:paraId="223E7BEF" w14:textId="77777777" w:rsidR="00C25DC3" w:rsidRPr="0080220E" w:rsidRDefault="00C25DC3" w:rsidP="00515FA6">
            <w:pPr>
              <w:spacing w:after="120"/>
              <w:jc w:val="center"/>
              <w:rPr>
                <w:rFonts w:ascii="Garamond" w:hAnsi="Garamond"/>
                <w:bCs/>
                <w:sz w:val="24"/>
              </w:rPr>
            </w:pPr>
          </w:p>
          <w:p w14:paraId="52253699" w14:textId="77777777" w:rsidR="00C25DC3" w:rsidRPr="0080220E" w:rsidRDefault="00C25DC3" w:rsidP="00515FA6">
            <w:pPr>
              <w:spacing w:after="120"/>
              <w:jc w:val="center"/>
              <w:rPr>
                <w:rFonts w:ascii="Garamond" w:hAnsi="Garamond"/>
                <w:bCs/>
                <w:sz w:val="24"/>
              </w:rPr>
            </w:pPr>
          </w:p>
          <w:p w14:paraId="78AC5CF3"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Review of PCC 2</w:t>
            </w:r>
          </w:p>
        </w:tc>
        <w:tc>
          <w:tcPr>
            <w:tcW w:w="1536" w:type="dxa"/>
            <w:shd w:val="clear" w:color="auto" w:fill="auto"/>
            <w:noWrap/>
            <w:vAlign w:val="center"/>
            <w:hideMark/>
          </w:tcPr>
          <w:p w14:paraId="0776E086"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76902D19" w14:textId="77777777" w:rsidR="00C25DC3" w:rsidRPr="0080220E" w:rsidRDefault="00C25DC3" w:rsidP="00515FA6">
            <w:pPr>
              <w:spacing w:after="120"/>
              <w:rPr>
                <w:rFonts w:ascii="Garamond" w:hAnsi="Garamond"/>
                <w:bCs/>
                <w:sz w:val="24"/>
              </w:rPr>
            </w:pPr>
            <w:r w:rsidRPr="0080220E">
              <w:rPr>
                <w:rFonts w:ascii="Garamond" w:hAnsi="Garamond"/>
                <w:bCs/>
                <w:sz w:val="24"/>
              </w:rPr>
              <w:t>The bottom dash in the first box in the auditable package chart on page 15 indicates the for IOUs, the need to confirm that substitute energy agreements have to be “longer than five years.” D.11-12-052 at page 50 states that a “substitute energy contract procured by an IOU for PCC 2 products must be “at least 5 years in duration.” Therefore, the above phrase in the first box on page 15 should be changed to “5 years or longer.”</w:t>
            </w:r>
          </w:p>
        </w:tc>
        <w:tc>
          <w:tcPr>
            <w:tcW w:w="2430" w:type="dxa"/>
            <w:shd w:val="clear" w:color="auto" w:fill="auto"/>
            <w:vAlign w:val="center"/>
            <w:hideMark/>
          </w:tcPr>
          <w:p w14:paraId="141F0FAC" w14:textId="77777777" w:rsidR="00C25DC3" w:rsidRPr="0080220E" w:rsidRDefault="00C25DC3" w:rsidP="00515FA6">
            <w:pPr>
              <w:spacing w:after="120"/>
              <w:rPr>
                <w:rFonts w:ascii="Garamond" w:hAnsi="Garamond"/>
                <w:bCs/>
                <w:sz w:val="24"/>
              </w:rPr>
            </w:pPr>
            <w:r w:rsidRPr="0080220E">
              <w:rPr>
                <w:rFonts w:ascii="Garamond" w:hAnsi="Garamond"/>
                <w:bCs/>
                <w:sz w:val="24"/>
              </w:rPr>
              <w:t>Energy Division staff have modified the language for the PCC 2 process diagram.</w:t>
            </w:r>
          </w:p>
        </w:tc>
      </w:tr>
      <w:tr w:rsidR="00C25DC3" w:rsidRPr="0080220E" w14:paraId="6632659C" w14:textId="77777777" w:rsidTr="00515FA6">
        <w:trPr>
          <w:trHeight w:val="2700"/>
        </w:trPr>
        <w:tc>
          <w:tcPr>
            <w:tcW w:w="2178" w:type="dxa"/>
            <w:vMerge/>
            <w:tcBorders>
              <w:bottom w:val="nil"/>
            </w:tcBorders>
            <w:shd w:val="clear" w:color="auto" w:fill="auto"/>
            <w:vAlign w:val="center"/>
            <w:hideMark/>
          </w:tcPr>
          <w:p w14:paraId="1901F1C4"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hideMark/>
          </w:tcPr>
          <w:p w14:paraId="7AA4B5B4"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hideMark/>
          </w:tcPr>
          <w:p w14:paraId="1BDBC1DD" w14:textId="77777777" w:rsidR="00C25DC3" w:rsidRPr="0080220E" w:rsidRDefault="00C25DC3" w:rsidP="00515FA6">
            <w:pPr>
              <w:spacing w:after="120"/>
              <w:rPr>
                <w:rFonts w:ascii="Garamond" w:hAnsi="Garamond"/>
                <w:bCs/>
                <w:sz w:val="24"/>
              </w:rPr>
            </w:pPr>
            <w:r w:rsidRPr="0080220E">
              <w:rPr>
                <w:rFonts w:ascii="Garamond" w:hAnsi="Garamond"/>
                <w:bCs/>
                <w:sz w:val="24"/>
              </w:rPr>
              <w:t>The second dash in the lower box in the auditable package chart on page 15 indicates the need to confirm that substitute energy needs to be delivered “within one calendar year” of REC generation. D.11-12-052 at page 77 (Ordering Paragraph 2) states that substitute energy for PCC 2 products must be delivered into California and matched with RECs in WREGIS within the “same calendar year.” Therefore, the above phrase in the lower box on page 15 should be changed to “within the same calendar year” to comport with the decision.</w:t>
            </w:r>
          </w:p>
        </w:tc>
        <w:tc>
          <w:tcPr>
            <w:tcW w:w="2430" w:type="dxa"/>
            <w:shd w:val="clear" w:color="auto" w:fill="auto"/>
            <w:vAlign w:val="center"/>
            <w:hideMark/>
          </w:tcPr>
          <w:p w14:paraId="58A8FE58" w14:textId="77777777" w:rsidR="00C25DC3" w:rsidRPr="0080220E" w:rsidRDefault="00C25DC3" w:rsidP="00515FA6">
            <w:pPr>
              <w:spacing w:after="120"/>
              <w:rPr>
                <w:rFonts w:ascii="Garamond" w:hAnsi="Garamond"/>
                <w:bCs/>
                <w:sz w:val="24"/>
              </w:rPr>
            </w:pPr>
            <w:r w:rsidRPr="0080220E">
              <w:rPr>
                <w:rFonts w:ascii="Garamond" w:hAnsi="Garamond"/>
                <w:bCs/>
                <w:sz w:val="24"/>
              </w:rPr>
              <w:t>Energy Division staff have modified the language for PCC 2 process diagram (at p. 17).</w:t>
            </w:r>
          </w:p>
        </w:tc>
      </w:tr>
      <w:tr w:rsidR="00C25DC3" w:rsidRPr="0080220E" w14:paraId="067BE96B" w14:textId="77777777" w:rsidTr="00515FA6">
        <w:trPr>
          <w:trHeight w:val="1412"/>
        </w:trPr>
        <w:tc>
          <w:tcPr>
            <w:tcW w:w="2178" w:type="dxa"/>
            <w:vMerge/>
            <w:tcBorders>
              <w:bottom w:val="nil"/>
            </w:tcBorders>
            <w:shd w:val="clear" w:color="auto" w:fill="auto"/>
            <w:vAlign w:val="center"/>
            <w:hideMark/>
          </w:tcPr>
          <w:p w14:paraId="3671043D"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hideMark/>
          </w:tcPr>
          <w:p w14:paraId="28BC6796" w14:textId="77777777" w:rsidR="00C25DC3" w:rsidRPr="0080220E" w:rsidRDefault="00C25DC3" w:rsidP="00515FA6">
            <w:pPr>
              <w:spacing w:after="120"/>
              <w:rPr>
                <w:rFonts w:ascii="Garamond" w:hAnsi="Garamond"/>
                <w:bCs/>
                <w:sz w:val="24"/>
              </w:rPr>
            </w:pPr>
            <w:r w:rsidRPr="0080220E">
              <w:rPr>
                <w:rFonts w:ascii="Garamond" w:hAnsi="Garamond"/>
                <w:bCs/>
                <w:sz w:val="24"/>
              </w:rPr>
              <w:t>SDG&amp;E</w:t>
            </w:r>
          </w:p>
        </w:tc>
        <w:tc>
          <w:tcPr>
            <w:tcW w:w="5016" w:type="dxa"/>
            <w:shd w:val="clear" w:color="auto" w:fill="auto"/>
            <w:vAlign w:val="center"/>
            <w:hideMark/>
          </w:tcPr>
          <w:p w14:paraId="5EDEADA6" w14:textId="77777777" w:rsidR="00C25DC3" w:rsidRPr="0080220E" w:rsidRDefault="00C25DC3" w:rsidP="00515FA6">
            <w:pPr>
              <w:spacing w:after="120"/>
              <w:rPr>
                <w:rFonts w:ascii="Garamond" w:hAnsi="Garamond"/>
                <w:bCs/>
                <w:sz w:val="24"/>
              </w:rPr>
            </w:pPr>
            <w:r w:rsidRPr="0080220E">
              <w:rPr>
                <w:rFonts w:ascii="Garamond" w:hAnsi="Garamond"/>
                <w:bCs/>
                <w:sz w:val="24"/>
              </w:rPr>
              <w:t>Change proposal language for PCC 2 to reflect that an agreement must run for "minimum of five years, or the length of the contract for RPS-eligible energy, whichever is shorter."</w:t>
            </w:r>
          </w:p>
        </w:tc>
        <w:tc>
          <w:tcPr>
            <w:tcW w:w="2430" w:type="dxa"/>
            <w:shd w:val="clear" w:color="auto" w:fill="auto"/>
            <w:vAlign w:val="center"/>
            <w:hideMark/>
          </w:tcPr>
          <w:p w14:paraId="1FB89013" w14:textId="77777777" w:rsidR="00C25DC3" w:rsidRPr="0080220E" w:rsidRDefault="00C25DC3" w:rsidP="00515FA6">
            <w:pPr>
              <w:spacing w:after="120"/>
              <w:rPr>
                <w:rFonts w:ascii="Garamond" w:hAnsi="Garamond"/>
                <w:bCs/>
                <w:sz w:val="24"/>
              </w:rPr>
            </w:pPr>
            <w:r w:rsidRPr="0080220E">
              <w:rPr>
                <w:rFonts w:ascii="Garamond" w:hAnsi="Garamond"/>
                <w:bCs/>
                <w:sz w:val="24"/>
              </w:rPr>
              <w:t>Energy Division staff have modified the language in the PCC 2 sections (at p. 16)</w:t>
            </w:r>
          </w:p>
        </w:tc>
      </w:tr>
      <w:tr w:rsidR="00C25DC3" w:rsidRPr="0080220E" w14:paraId="744DB086" w14:textId="77777777" w:rsidTr="00515FA6">
        <w:trPr>
          <w:trHeight w:val="1970"/>
        </w:trPr>
        <w:tc>
          <w:tcPr>
            <w:tcW w:w="2178" w:type="dxa"/>
            <w:vMerge w:val="restart"/>
            <w:tcBorders>
              <w:bottom w:val="nil"/>
            </w:tcBorders>
            <w:shd w:val="clear" w:color="auto" w:fill="auto"/>
            <w:vAlign w:val="center"/>
            <w:hideMark/>
          </w:tcPr>
          <w:p w14:paraId="5AB67068"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t>Static Contract Information Tab</w:t>
            </w:r>
          </w:p>
        </w:tc>
        <w:tc>
          <w:tcPr>
            <w:tcW w:w="1536" w:type="dxa"/>
            <w:shd w:val="clear" w:color="auto" w:fill="auto"/>
            <w:noWrap/>
            <w:vAlign w:val="center"/>
            <w:hideMark/>
          </w:tcPr>
          <w:p w14:paraId="24032B03" w14:textId="77777777" w:rsidR="00C25DC3" w:rsidRPr="0080220E" w:rsidRDefault="00C25DC3" w:rsidP="00515FA6">
            <w:pPr>
              <w:spacing w:after="120"/>
              <w:rPr>
                <w:rFonts w:ascii="Garamond" w:hAnsi="Garamond"/>
                <w:bCs/>
                <w:sz w:val="24"/>
              </w:rPr>
            </w:pPr>
            <w:r w:rsidRPr="0080220E">
              <w:rPr>
                <w:rFonts w:ascii="Garamond" w:hAnsi="Garamond"/>
                <w:bCs/>
                <w:sz w:val="24"/>
              </w:rPr>
              <w:t xml:space="preserve">SDG&amp;E </w:t>
            </w:r>
          </w:p>
        </w:tc>
        <w:tc>
          <w:tcPr>
            <w:tcW w:w="5016" w:type="dxa"/>
            <w:shd w:val="clear" w:color="auto" w:fill="auto"/>
            <w:vAlign w:val="center"/>
            <w:hideMark/>
          </w:tcPr>
          <w:p w14:paraId="2895D4C7" w14:textId="77777777" w:rsidR="00C25DC3" w:rsidRPr="0080220E" w:rsidRDefault="00C25DC3" w:rsidP="00515FA6">
            <w:pPr>
              <w:spacing w:after="120"/>
              <w:rPr>
                <w:rFonts w:ascii="Garamond" w:hAnsi="Garamond"/>
                <w:bCs/>
                <w:sz w:val="24"/>
              </w:rPr>
            </w:pPr>
            <w:r w:rsidRPr="0080220E">
              <w:rPr>
                <w:rFonts w:ascii="Garamond" w:hAnsi="Garamond"/>
                <w:bCs/>
                <w:sz w:val="24"/>
              </w:rPr>
              <w:t>The Excel spreadsheet provided does not include the following fields listed in the Proposal: “Type of Procurement Arrangement,” “Retail Seller Contract Reference Number, or Contract ID Number,” and “Facility Source Name.”</w:t>
            </w:r>
          </w:p>
        </w:tc>
        <w:tc>
          <w:tcPr>
            <w:tcW w:w="2430" w:type="dxa"/>
            <w:shd w:val="clear" w:color="auto" w:fill="auto"/>
            <w:vAlign w:val="center"/>
            <w:hideMark/>
          </w:tcPr>
          <w:p w14:paraId="1710A319" w14:textId="77777777" w:rsidR="00C25DC3" w:rsidRPr="0080220E" w:rsidRDefault="00C25DC3" w:rsidP="00515FA6">
            <w:pPr>
              <w:spacing w:after="120"/>
              <w:rPr>
                <w:rFonts w:ascii="Garamond" w:hAnsi="Garamond"/>
                <w:bCs/>
                <w:sz w:val="24"/>
              </w:rPr>
            </w:pPr>
            <w:r w:rsidRPr="0080220E">
              <w:rPr>
                <w:rFonts w:ascii="Garamond" w:hAnsi="Garamond"/>
                <w:bCs/>
                <w:sz w:val="24"/>
              </w:rPr>
              <w:t>The “Static Contract Information” tab has been modified to include the fields listed.</w:t>
            </w:r>
          </w:p>
        </w:tc>
      </w:tr>
      <w:tr w:rsidR="00C25DC3" w:rsidRPr="0080220E" w14:paraId="706B90F7" w14:textId="77777777" w:rsidTr="00515FA6">
        <w:trPr>
          <w:trHeight w:val="1250"/>
        </w:trPr>
        <w:tc>
          <w:tcPr>
            <w:tcW w:w="2178" w:type="dxa"/>
            <w:vMerge/>
            <w:tcBorders>
              <w:bottom w:val="nil"/>
            </w:tcBorders>
            <w:shd w:val="clear" w:color="auto" w:fill="auto"/>
            <w:vAlign w:val="center"/>
          </w:tcPr>
          <w:p w14:paraId="6379F898"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tcPr>
          <w:p w14:paraId="5942B90E"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6FC2461E" w14:textId="77777777" w:rsidR="00C25DC3" w:rsidRPr="0080220E" w:rsidRDefault="00C25DC3" w:rsidP="00515FA6">
            <w:pPr>
              <w:spacing w:after="120"/>
              <w:rPr>
                <w:rFonts w:ascii="Garamond" w:hAnsi="Garamond"/>
                <w:bCs/>
                <w:sz w:val="24"/>
              </w:rPr>
            </w:pPr>
            <w:r w:rsidRPr="0080220E">
              <w:rPr>
                <w:rFonts w:ascii="Garamond" w:hAnsi="Garamond"/>
                <w:bCs/>
                <w:sz w:val="24"/>
              </w:rPr>
              <w:t>“Retail Seller Contract Reference Number” field: PG&amp;E notes that this field is not one of the columns in the Static Contract Information tab.</w:t>
            </w:r>
          </w:p>
        </w:tc>
        <w:tc>
          <w:tcPr>
            <w:tcW w:w="2430" w:type="dxa"/>
            <w:shd w:val="clear" w:color="auto" w:fill="auto"/>
            <w:vAlign w:val="center"/>
          </w:tcPr>
          <w:p w14:paraId="0B08ECA8" w14:textId="77777777" w:rsidR="00C25DC3" w:rsidRPr="0080220E" w:rsidRDefault="00C25DC3" w:rsidP="00515FA6">
            <w:pPr>
              <w:spacing w:after="120"/>
              <w:rPr>
                <w:rFonts w:ascii="Garamond" w:hAnsi="Garamond"/>
                <w:bCs/>
                <w:sz w:val="24"/>
              </w:rPr>
            </w:pPr>
            <w:r w:rsidRPr="0080220E">
              <w:rPr>
                <w:rFonts w:ascii="Garamond" w:hAnsi="Garamond"/>
                <w:bCs/>
                <w:sz w:val="24"/>
              </w:rPr>
              <w:t>The “Static Contract Information” tab has been modified to include this field.</w:t>
            </w:r>
          </w:p>
        </w:tc>
      </w:tr>
      <w:tr w:rsidR="00C25DC3" w:rsidRPr="0080220E" w14:paraId="4CC311C4" w14:textId="77777777" w:rsidTr="00515FA6">
        <w:trPr>
          <w:trHeight w:val="1520"/>
        </w:trPr>
        <w:tc>
          <w:tcPr>
            <w:tcW w:w="2178" w:type="dxa"/>
            <w:vMerge/>
            <w:tcBorders>
              <w:bottom w:val="nil"/>
            </w:tcBorders>
            <w:shd w:val="clear" w:color="auto" w:fill="auto"/>
            <w:vAlign w:val="center"/>
          </w:tcPr>
          <w:p w14:paraId="69A54CD0"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tcPr>
          <w:p w14:paraId="0580B5C9"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35CA9AEA" w14:textId="77777777" w:rsidR="00C25DC3" w:rsidRPr="0080220E" w:rsidRDefault="00C25DC3" w:rsidP="00515FA6">
            <w:pPr>
              <w:spacing w:after="120"/>
              <w:rPr>
                <w:rFonts w:ascii="Garamond" w:hAnsi="Garamond"/>
                <w:bCs/>
                <w:sz w:val="24"/>
              </w:rPr>
            </w:pPr>
            <w:r w:rsidRPr="0080220E">
              <w:rPr>
                <w:rFonts w:ascii="Garamond" w:hAnsi="Garamond"/>
                <w:bCs/>
                <w:sz w:val="24"/>
              </w:rPr>
              <w:t>“Facility Source Name” field: PG&amp;E notes that this field is not one of the columns in the Static Contract Information tab. Additionally, the instruction does not indicate what to do if interconnected directly to a CBA.</w:t>
            </w:r>
          </w:p>
        </w:tc>
        <w:tc>
          <w:tcPr>
            <w:tcW w:w="2430" w:type="dxa"/>
            <w:shd w:val="clear" w:color="auto" w:fill="auto"/>
            <w:vAlign w:val="center"/>
          </w:tcPr>
          <w:p w14:paraId="38A5D402" w14:textId="77777777" w:rsidR="00C25DC3" w:rsidRPr="0080220E" w:rsidRDefault="00C25DC3" w:rsidP="00515FA6">
            <w:pPr>
              <w:spacing w:after="120"/>
              <w:rPr>
                <w:rFonts w:ascii="Garamond" w:hAnsi="Garamond"/>
                <w:bCs/>
                <w:sz w:val="24"/>
              </w:rPr>
            </w:pPr>
            <w:r w:rsidRPr="0080220E">
              <w:rPr>
                <w:rFonts w:ascii="Garamond" w:hAnsi="Garamond"/>
                <w:bCs/>
                <w:sz w:val="24"/>
              </w:rPr>
              <w:t>The “Static Contract Information” tab has been modified to include this field.</w:t>
            </w:r>
          </w:p>
        </w:tc>
      </w:tr>
      <w:tr w:rsidR="00C25DC3" w:rsidRPr="0080220E" w14:paraId="412F2B24" w14:textId="77777777" w:rsidTr="00515FA6">
        <w:trPr>
          <w:trHeight w:val="899"/>
        </w:trPr>
        <w:tc>
          <w:tcPr>
            <w:tcW w:w="2178" w:type="dxa"/>
            <w:vMerge/>
            <w:tcBorders>
              <w:bottom w:val="nil"/>
            </w:tcBorders>
            <w:shd w:val="clear" w:color="auto" w:fill="auto"/>
            <w:vAlign w:val="center"/>
          </w:tcPr>
          <w:p w14:paraId="728D5927" w14:textId="77777777" w:rsidR="00C25DC3" w:rsidRPr="0080220E" w:rsidRDefault="00C25DC3" w:rsidP="00515FA6">
            <w:pPr>
              <w:spacing w:after="120"/>
              <w:jc w:val="center"/>
              <w:rPr>
                <w:rFonts w:ascii="Garamond" w:hAnsi="Garamond"/>
                <w:bCs/>
                <w:sz w:val="24"/>
              </w:rPr>
            </w:pPr>
          </w:p>
        </w:tc>
        <w:tc>
          <w:tcPr>
            <w:tcW w:w="1536" w:type="dxa"/>
            <w:shd w:val="clear" w:color="auto" w:fill="auto"/>
            <w:noWrap/>
            <w:vAlign w:val="center"/>
          </w:tcPr>
          <w:p w14:paraId="33A21BEA"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6D15A577" w14:textId="77777777" w:rsidR="00C25DC3" w:rsidRPr="0080220E" w:rsidRDefault="00C25DC3" w:rsidP="00515FA6">
            <w:pPr>
              <w:spacing w:after="120"/>
              <w:rPr>
                <w:rFonts w:ascii="Garamond" w:hAnsi="Garamond"/>
                <w:bCs/>
                <w:sz w:val="24"/>
              </w:rPr>
            </w:pPr>
            <w:r w:rsidRPr="0080220E">
              <w:rPr>
                <w:rFonts w:ascii="Garamond" w:hAnsi="Garamond"/>
                <w:bCs/>
                <w:sz w:val="24"/>
              </w:rPr>
              <w:t>Location (County and State, or Country if outside US): PG&amp;E recommends providing City, County, State, and Country as separate fields, for consistency with “Procurement Detail” tab, the PDSR and the RPS Database. Additionally, PG&amp;E recommends splitting this into separate fields to ease exporting and importing into various databases. These fields should all be consistent with RPS Database and PDSR, in that, contracts with multiple facilities should input “Multiple” for these fields. This field should also allow the response “TBD” if not yet determined.</w:t>
            </w:r>
          </w:p>
        </w:tc>
        <w:tc>
          <w:tcPr>
            <w:tcW w:w="2430" w:type="dxa"/>
            <w:shd w:val="clear" w:color="auto" w:fill="auto"/>
            <w:vAlign w:val="center"/>
          </w:tcPr>
          <w:p w14:paraId="7279AEAE" w14:textId="77777777" w:rsidR="00C25DC3" w:rsidRPr="0080220E" w:rsidRDefault="00C25DC3" w:rsidP="00515FA6">
            <w:pPr>
              <w:spacing w:after="120"/>
              <w:rPr>
                <w:rFonts w:ascii="Garamond" w:hAnsi="Garamond"/>
                <w:bCs/>
                <w:sz w:val="24"/>
              </w:rPr>
            </w:pPr>
            <w:r w:rsidRPr="0080220E">
              <w:rPr>
                <w:rFonts w:ascii="Garamond" w:hAnsi="Garamond"/>
                <w:bCs/>
                <w:sz w:val="24"/>
              </w:rPr>
              <w:t>Additional columns have been added to the “Static Contract Information” tab and the “Static Contract Information” tab instructions/data definitions have been modified.</w:t>
            </w:r>
          </w:p>
        </w:tc>
      </w:tr>
      <w:tr w:rsidR="00C25DC3" w:rsidRPr="0080220E" w14:paraId="1D07466C" w14:textId="77777777" w:rsidTr="00515FA6">
        <w:trPr>
          <w:trHeight w:val="530"/>
        </w:trPr>
        <w:tc>
          <w:tcPr>
            <w:tcW w:w="2178" w:type="dxa"/>
            <w:vMerge w:val="restart"/>
            <w:tcBorders>
              <w:top w:val="nil"/>
            </w:tcBorders>
            <w:shd w:val="clear" w:color="auto" w:fill="auto"/>
            <w:vAlign w:val="center"/>
          </w:tcPr>
          <w:p w14:paraId="4996ED81" w14:textId="77777777" w:rsidR="00C25DC3" w:rsidRPr="0080220E" w:rsidRDefault="00C25DC3" w:rsidP="00515FA6">
            <w:pPr>
              <w:spacing w:after="120"/>
              <w:jc w:val="center"/>
              <w:rPr>
                <w:rFonts w:ascii="Garamond" w:hAnsi="Garamond"/>
                <w:bCs/>
                <w:sz w:val="24"/>
              </w:rPr>
            </w:pPr>
          </w:p>
          <w:p w14:paraId="3E223725" w14:textId="77777777" w:rsidR="00C25DC3" w:rsidRPr="0080220E" w:rsidRDefault="00C25DC3" w:rsidP="00515FA6">
            <w:pPr>
              <w:spacing w:after="120"/>
              <w:jc w:val="center"/>
              <w:rPr>
                <w:rFonts w:ascii="Garamond" w:hAnsi="Garamond"/>
                <w:bCs/>
                <w:sz w:val="24"/>
              </w:rPr>
            </w:pPr>
          </w:p>
          <w:p w14:paraId="41AA52A5" w14:textId="77777777" w:rsidR="00C25DC3" w:rsidRPr="0080220E" w:rsidRDefault="00C25DC3" w:rsidP="00515FA6">
            <w:pPr>
              <w:spacing w:after="120"/>
              <w:jc w:val="center"/>
              <w:rPr>
                <w:rFonts w:ascii="Garamond" w:hAnsi="Garamond"/>
                <w:bCs/>
                <w:sz w:val="24"/>
              </w:rPr>
            </w:pPr>
          </w:p>
          <w:p w14:paraId="3E31535E" w14:textId="77777777" w:rsidR="00C25DC3" w:rsidRPr="0080220E" w:rsidRDefault="00C25DC3" w:rsidP="00515FA6">
            <w:pPr>
              <w:spacing w:after="120"/>
              <w:jc w:val="center"/>
              <w:rPr>
                <w:rFonts w:ascii="Garamond" w:hAnsi="Garamond"/>
                <w:bCs/>
                <w:sz w:val="24"/>
              </w:rPr>
            </w:pPr>
          </w:p>
          <w:p w14:paraId="0558054F" w14:textId="77777777" w:rsidR="00C25DC3" w:rsidRPr="0080220E" w:rsidRDefault="00C25DC3" w:rsidP="00515FA6">
            <w:pPr>
              <w:spacing w:after="120"/>
              <w:jc w:val="center"/>
              <w:rPr>
                <w:rFonts w:ascii="Garamond" w:hAnsi="Garamond"/>
                <w:bCs/>
                <w:sz w:val="24"/>
              </w:rPr>
            </w:pPr>
          </w:p>
          <w:p w14:paraId="1CD0581B" w14:textId="77777777" w:rsidR="00C25DC3" w:rsidRPr="0080220E" w:rsidRDefault="00C25DC3" w:rsidP="00515FA6">
            <w:pPr>
              <w:spacing w:after="120"/>
              <w:jc w:val="center"/>
              <w:rPr>
                <w:rFonts w:ascii="Garamond" w:hAnsi="Garamond"/>
                <w:bCs/>
                <w:sz w:val="24"/>
              </w:rPr>
            </w:pPr>
          </w:p>
          <w:p w14:paraId="7FD0C451" w14:textId="77777777" w:rsidR="00C25DC3" w:rsidRPr="0080220E" w:rsidRDefault="00C25DC3" w:rsidP="00515FA6">
            <w:pPr>
              <w:spacing w:after="120"/>
              <w:jc w:val="center"/>
              <w:rPr>
                <w:rFonts w:ascii="Garamond" w:hAnsi="Garamond"/>
                <w:bCs/>
                <w:sz w:val="24"/>
              </w:rPr>
            </w:pPr>
          </w:p>
          <w:p w14:paraId="070866B1" w14:textId="77777777" w:rsidR="00C25DC3" w:rsidRPr="0080220E" w:rsidRDefault="00C25DC3" w:rsidP="00515FA6">
            <w:pPr>
              <w:spacing w:after="120"/>
              <w:jc w:val="center"/>
              <w:rPr>
                <w:rFonts w:ascii="Garamond" w:hAnsi="Garamond"/>
                <w:bCs/>
                <w:sz w:val="24"/>
              </w:rPr>
            </w:pPr>
          </w:p>
          <w:p w14:paraId="6858532A" w14:textId="77777777" w:rsidR="00C25DC3" w:rsidRPr="0080220E" w:rsidRDefault="00C25DC3" w:rsidP="00515FA6">
            <w:pPr>
              <w:spacing w:after="120"/>
              <w:jc w:val="center"/>
              <w:rPr>
                <w:rFonts w:ascii="Garamond" w:hAnsi="Garamond"/>
                <w:bCs/>
                <w:sz w:val="24"/>
              </w:rPr>
            </w:pPr>
          </w:p>
          <w:p w14:paraId="1F7B5B4F" w14:textId="77777777" w:rsidR="00C25DC3" w:rsidRPr="0080220E" w:rsidRDefault="00C25DC3" w:rsidP="00515FA6">
            <w:pPr>
              <w:spacing w:after="120"/>
              <w:jc w:val="center"/>
              <w:rPr>
                <w:rFonts w:ascii="Garamond" w:hAnsi="Garamond"/>
                <w:bCs/>
                <w:sz w:val="24"/>
              </w:rPr>
            </w:pPr>
          </w:p>
          <w:p w14:paraId="5A6AB280" w14:textId="77777777" w:rsidR="00C25DC3" w:rsidRPr="0080220E" w:rsidRDefault="00C25DC3" w:rsidP="00515FA6">
            <w:pPr>
              <w:spacing w:after="120"/>
              <w:jc w:val="center"/>
              <w:rPr>
                <w:rFonts w:ascii="Garamond" w:hAnsi="Garamond"/>
                <w:bCs/>
                <w:sz w:val="24"/>
              </w:rPr>
            </w:pPr>
          </w:p>
          <w:p w14:paraId="4A4EB94F" w14:textId="77777777" w:rsidR="00C25DC3" w:rsidRPr="0080220E" w:rsidRDefault="00C25DC3" w:rsidP="00515FA6">
            <w:pPr>
              <w:spacing w:after="120"/>
              <w:jc w:val="center"/>
              <w:rPr>
                <w:rFonts w:ascii="Garamond" w:hAnsi="Garamond"/>
                <w:bCs/>
                <w:sz w:val="24"/>
              </w:rPr>
            </w:pPr>
          </w:p>
          <w:p w14:paraId="4927D940" w14:textId="77777777" w:rsidR="00C25DC3" w:rsidRPr="0080220E" w:rsidRDefault="00C25DC3" w:rsidP="00515FA6">
            <w:pPr>
              <w:spacing w:after="120"/>
              <w:jc w:val="center"/>
              <w:rPr>
                <w:rFonts w:ascii="Garamond" w:hAnsi="Garamond"/>
                <w:bCs/>
                <w:sz w:val="24"/>
              </w:rPr>
            </w:pPr>
          </w:p>
          <w:p w14:paraId="18C64604" w14:textId="77777777" w:rsidR="00C25DC3" w:rsidRPr="0080220E" w:rsidRDefault="00C25DC3" w:rsidP="00515FA6">
            <w:pPr>
              <w:spacing w:after="120"/>
              <w:jc w:val="center"/>
              <w:rPr>
                <w:rFonts w:ascii="Garamond" w:hAnsi="Garamond"/>
                <w:bCs/>
                <w:sz w:val="24"/>
              </w:rPr>
            </w:pPr>
          </w:p>
          <w:p w14:paraId="0978D229" w14:textId="77777777" w:rsidR="00C25DC3" w:rsidRPr="0080220E" w:rsidRDefault="00C25DC3" w:rsidP="00515FA6">
            <w:pPr>
              <w:spacing w:after="120"/>
              <w:jc w:val="center"/>
              <w:rPr>
                <w:rFonts w:ascii="Garamond" w:hAnsi="Garamond"/>
                <w:bCs/>
                <w:sz w:val="24"/>
              </w:rPr>
            </w:pPr>
          </w:p>
          <w:p w14:paraId="7B23260A" w14:textId="77777777" w:rsidR="00C25DC3" w:rsidRPr="0080220E" w:rsidRDefault="00C25DC3" w:rsidP="00515FA6">
            <w:pPr>
              <w:spacing w:after="120"/>
              <w:jc w:val="center"/>
              <w:rPr>
                <w:rFonts w:ascii="Garamond" w:hAnsi="Garamond"/>
                <w:bCs/>
                <w:sz w:val="24"/>
              </w:rPr>
            </w:pPr>
          </w:p>
          <w:p w14:paraId="0E7741DA" w14:textId="77777777" w:rsidR="00C25DC3" w:rsidRPr="0080220E" w:rsidRDefault="00C25DC3" w:rsidP="00515FA6">
            <w:pPr>
              <w:spacing w:after="120"/>
              <w:jc w:val="center"/>
              <w:rPr>
                <w:rFonts w:ascii="Garamond" w:hAnsi="Garamond"/>
                <w:bCs/>
                <w:sz w:val="24"/>
              </w:rPr>
            </w:pPr>
            <w:r w:rsidRPr="0080220E">
              <w:rPr>
                <w:rFonts w:ascii="Garamond" w:hAnsi="Garamond"/>
                <w:bCs/>
                <w:sz w:val="24"/>
              </w:rPr>
              <w:lastRenderedPageBreak/>
              <w:t>Static Contract Information Tab</w:t>
            </w:r>
          </w:p>
          <w:p w14:paraId="1025F12F" w14:textId="77777777" w:rsidR="00C25DC3" w:rsidRPr="0080220E" w:rsidRDefault="00C25DC3" w:rsidP="00515FA6">
            <w:pPr>
              <w:spacing w:after="120"/>
              <w:jc w:val="center"/>
              <w:rPr>
                <w:rFonts w:ascii="Garamond" w:hAnsi="Garamond"/>
                <w:bCs/>
                <w:sz w:val="24"/>
              </w:rPr>
            </w:pPr>
          </w:p>
          <w:p w14:paraId="1AA25944" w14:textId="77777777" w:rsidR="00C25DC3" w:rsidRPr="0080220E" w:rsidRDefault="00C25DC3" w:rsidP="00515FA6">
            <w:pPr>
              <w:spacing w:after="120"/>
              <w:jc w:val="center"/>
              <w:rPr>
                <w:rFonts w:ascii="Garamond" w:hAnsi="Garamond"/>
                <w:bCs/>
                <w:sz w:val="24"/>
              </w:rPr>
            </w:pPr>
          </w:p>
          <w:p w14:paraId="61473A3A"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0491A993" w14:textId="77777777" w:rsidR="00C25DC3" w:rsidRPr="0080220E" w:rsidRDefault="00C25DC3" w:rsidP="00515FA6">
            <w:pPr>
              <w:spacing w:after="120"/>
              <w:rPr>
                <w:rFonts w:ascii="Garamond" w:hAnsi="Garamond"/>
                <w:bCs/>
                <w:sz w:val="24"/>
              </w:rPr>
            </w:pPr>
            <w:r w:rsidRPr="0080220E">
              <w:rPr>
                <w:rFonts w:ascii="Garamond" w:hAnsi="Garamond"/>
                <w:bCs/>
                <w:sz w:val="24"/>
              </w:rPr>
              <w:lastRenderedPageBreak/>
              <w:t>PG&amp;E</w:t>
            </w:r>
          </w:p>
        </w:tc>
        <w:tc>
          <w:tcPr>
            <w:tcW w:w="5016" w:type="dxa"/>
            <w:shd w:val="clear" w:color="auto" w:fill="auto"/>
            <w:vAlign w:val="center"/>
          </w:tcPr>
          <w:p w14:paraId="63233275" w14:textId="77777777" w:rsidR="00C25DC3" w:rsidRPr="0080220E" w:rsidRDefault="00C25DC3" w:rsidP="00515FA6">
            <w:pPr>
              <w:spacing w:after="120"/>
              <w:rPr>
                <w:rFonts w:ascii="Garamond" w:hAnsi="Garamond"/>
                <w:bCs/>
                <w:sz w:val="24"/>
              </w:rPr>
            </w:pPr>
            <w:r w:rsidRPr="0080220E">
              <w:rPr>
                <w:rFonts w:ascii="Garamond" w:hAnsi="Garamond"/>
                <w:bCs/>
                <w:sz w:val="24"/>
              </w:rPr>
              <w:t>“CBA(s) of Interconnection” field: PG&amp;E suggests renaming this field and using “Balancing Authority” data field from the PDSR and the RPS Database.</w:t>
            </w:r>
          </w:p>
        </w:tc>
        <w:tc>
          <w:tcPr>
            <w:tcW w:w="2430" w:type="dxa"/>
            <w:shd w:val="clear" w:color="auto" w:fill="auto"/>
            <w:vAlign w:val="center"/>
          </w:tcPr>
          <w:p w14:paraId="5853AC56" w14:textId="77777777" w:rsidR="00C25DC3" w:rsidRPr="0080220E" w:rsidRDefault="00C25DC3" w:rsidP="00515FA6">
            <w:pPr>
              <w:spacing w:after="120"/>
              <w:rPr>
                <w:rFonts w:ascii="Garamond" w:hAnsi="Garamond"/>
                <w:bCs/>
                <w:sz w:val="24"/>
              </w:rPr>
            </w:pPr>
            <w:r w:rsidRPr="0080220E">
              <w:rPr>
                <w:rFonts w:ascii="Garamond" w:hAnsi="Garamond"/>
                <w:bCs/>
                <w:sz w:val="24"/>
              </w:rPr>
              <w:t>The name of this field has been modified and the possible data validations include all balancing authorities in the WECC.</w:t>
            </w:r>
          </w:p>
        </w:tc>
      </w:tr>
      <w:tr w:rsidR="00C25DC3" w:rsidRPr="0080220E" w14:paraId="0357BECC" w14:textId="77777777" w:rsidTr="00515FA6">
        <w:trPr>
          <w:trHeight w:val="530"/>
        </w:trPr>
        <w:tc>
          <w:tcPr>
            <w:tcW w:w="2178" w:type="dxa"/>
            <w:vMerge/>
            <w:tcBorders>
              <w:top w:val="nil"/>
            </w:tcBorders>
            <w:shd w:val="clear" w:color="auto" w:fill="auto"/>
            <w:vAlign w:val="center"/>
          </w:tcPr>
          <w:p w14:paraId="3B255548"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22457FE7"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5F48851A" w14:textId="77777777" w:rsidR="00C25DC3" w:rsidRPr="0080220E" w:rsidRDefault="00C25DC3" w:rsidP="00515FA6">
            <w:pPr>
              <w:spacing w:after="120"/>
              <w:rPr>
                <w:rFonts w:ascii="Garamond" w:hAnsi="Garamond"/>
                <w:bCs/>
                <w:sz w:val="24"/>
              </w:rPr>
            </w:pPr>
            <w:r w:rsidRPr="0080220E">
              <w:rPr>
                <w:rFonts w:ascii="Garamond" w:hAnsi="Garamond"/>
                <w:bCs/>
                <w:sz w:val="24"/>
              </w:rPr>
              <w:t>PG&amp;E proposes clarification on how to report data for contracts for energy from multiple facilities when the facilities do not all have the same information. PG&amp;E proposes that for contracts to purchase energy from a small number of specific facilities, the IOU provide multiple values separated by commas, if the data type for the column allows. For contracts with a large number of facilities or an undefined or unlimited set of facilities (e.g. REC transactions), the utility should state “Multiple.”</w:t>
            </w:r>
          </w:p>
        </w:tc>
        <w:tc>
          <w:tcPr>
            <w:tcW w:w="2430" w:type="dxa"/>
            <w:shd w:val="clear" w:color="auto" w:fill="auto"/>
            <w:vAlign w:val="center"/>
          </w:tcPr>
          <w:p w14:paraId="7C271B85" w14:textId="77777777" w:rsidR="00C25DC3" w:rsidRPr="0080220E" w:rsidRDefault="00C25DC3" w:rsidP="00515FA6">
            <w:pPr>
              <w:spacing w:after="120"/>
              <w:rPr>
                <w:rFonts w:ascii="Garamond" w:hAnsi="Garamond"/>
                <w:bCs/>
                <w:sz w:val="24"/>
              </w:rPr>
            </w:pPr>
            <w:r w:rsidRPr="0080220E">
              <w:rPr>
                <w:rFonts w:ascii="Garamond" w:hAnsi="Garamond"/>
                <w:bCs/>
                <w:sz w:val="24"/>
              </w:rPr>
              <w:t>Numerous data definitions have been modified to include various/multiple as an option (see p. 6-7).</w:t>
            </w:r>
          </w:p>
        </w:tc>
      </w:tr>
      <w:tr w:rsidR="00C25DC3" w:rsidRPr="0080220E" w14:paraId="48F4868B" w14:textId="77777777" w:rsidTr="00515FA6">
        <w:trPr>
          <w:trHeight w:val="620"/>
        </w:trPr>
        <w:tc>
          <w:tcPr>
            <w:tcW w:w="2178" w:type="dxa"/>
            <w:vMerge/>
            <w:shd w:val="clear" w:color="auto" w:fill="auto"/>
            <w:vAlign w:val="center"/>
          </w:tcPr>
          <w:p w14:paraId="583F46CA"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0E8B9372"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1BA42AA6" w14:textId="77777777" w:rsidR="00C25DC3" w:rsidRPr="0080220E" w:rsidRDefault="00C25DC3" w:rsidP="00515FA6">
            <w:pPr>
              <w:spacing w:after="120"/>
              <w:rPr>
                <w:rFonts w:ascii="Garamond" w:hAnsi="Garamond"/>
                <w:bCs/>
                <w:sz w:val="24"/>
              </w:rPr>
            </w:pPr>
            <w:r w:rsidRPr="0080220E">
              <w:rPr>
                <w:rFonts w:ascii="Garamond" w:hAnsi="Garamond"/>
                <w:bCs/>
                <w:sz w:val="24"/>
              </w:rPr>
              <w:t>“Resale Agreement” field: PG&amp;E recommends Energy Division clarify the definition of Resale Agreement. It is unclear to PG&amp;E that if the Resale Agreement is referring to PCC 2 firming and shaping agreements, or the traditional “resale” in which previously procured RECs are resold to a third party.</w:t>
            </w:r>
          </w:p>
        </w:tc>
        <w:tc>
          <w:tcPr>
            <w:tcW w:w="2430" w:type="dxa"/>
            <w:shd w:val="clear" w:color="auto" w:fill="auto"/>
            <w:vAlign w:val="center"/>
          </w:tcPr>
          <w:p w14:paraId="0404D88F" w14:textId="77777777" w:rsidR="00C25DC3" w:rsidRPr="0080220E" w:rsidRDefault="00C25DC3" w:rsidP="00515FA6">
            <w:pPr>
              <w:spacing w:after="120"/>
              <w:rPr>
                <w:rFonts w:ascii="Garamond" w:hAnsi="Garamond"/>
                <w:bCs/>
                <w:sz w:val="24"/>
              </w:rPr>
            </w:pPr>
            <w:r w:rsidRPr="0080220E">
              <w:rPr>
                <w:rFonts w:ascii="Garamond" w:hAnsi="Garamond"/>
                <w:bCs/>
                <w:sz w:val="24"/>
              </w:rPr>
              <w:t>The “Static Contract Information” tab instructions/data definitions have been modified to provide more clarity.</w:t>
            </w:r>
          </w:p>
        </w:tc>
      </w:tr>
      <w:tr w:rsidR="00C25DC3" w:rsidRPr="0080220E" w14:paraId="38E62E7E" w14:textId="77777777" w:rsidTr="00515FA6">
        <w:trPr>
          <w:trHeight w:val="1500"/>
        </w:trPr>
        <w:tc>
          <w:tcPr>
            <w:tcW w:w="2178" w:type="dxa"/>
            <w:vMerge/>
            <w:shd w:val="clear" w:color="auto" w:fill="auto"/>
            <w:vAlign w:val="center"/>
          </w:tcPr>
          <w:p w14:paraId="67DA5CDC"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3F294002"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2C896FA2" w14:textId="77777777" w:rsidR="00C25DC3" w:rsidRPr="0080220E" w:rsidRDefault="00C25DC3" w:rsidP="00515FA6">
            <w:pPr>
              <w:spacing w:after="120"/>
              <w:rPr>
                <w:rFonts w:ascii="Garamond" w:hAnsi="Garamond"/>
                <w:bCs/>
                <w:sz w:val="24"/>
              </w:rPr>
            </w:pPr>
            <w:r w:rsidRPr="0080220E">
              <w:rPr>
                <w:rFonts w:ascii="Garamond" w:hAnsi="Garamond"/>
                <w:bCs/>
                <w:sz w:val="24"/>
              </w:rPr>
              <w:t>“Owner/Seller” field: PG&amp;E suggests renaming this field and using “Primary Developer Name” data field from the PDSR and RPS Database.</w:t>
            </w:r>
          </w:p>
        </w:tc>
        <w:tc>
          <w:tcPr>
            <w:tcW w:w="2430" w:type="dxa"/>
            <w:shd w:val="clear" w:color="auto" w:fill="auto"/>
            <w:vAlign w:val="center"/>
          </w:tcPr>
          <w:p w14:paraId="2F8C6AB3" w14:textId="77777777" w:rsidR="00C25DC3" w:rsidRPr="0080220E" w:rsidRDefault="00C25DC3" w:rsidP="00515FA6">
            <w:pPr>
              <w:spacing w:after="120"/>
              <w:rPr>
                <w:rFonts w:ascii="Garamond" w:hAnsi="Garamond"/>
                <w:bCs/>
                <w:sz w:val="24"/>
              </w:rPr>
            </w:pPr>
            <w:r w:rsidRPr="0080220E">
              <w:rPr>
                <w:rFonts w:ascii="Garamond" w:hAnsi="Garamond"/>
                <w:bCs/>
                <w:sz w:val="24"/>
              </w:rPr>
              <w:t>A footnote has been added to note that this field is the same as the corresponding field in the IOU Monthly database document (see p.7).</w:t>
            </w:r>
          </w:p>
        </w:tc>
      </w:tr>
      <w:tr w:rsidR="00C25DC3" w:rsidRPr="0080220E" w14:paraId="63C511FE" w14:textId="77777777" w:rsidTr="00515FA6">
        <w:trPr>
          <w:trHeight w:val="1500"/>
        </w:trPr>
        <w:tc>
          <w:tcPr>
            <w:tcW w:w="2178" w:type="dxa"/>
            <w:vMerge/>
            <w:shd w:val="clear" w:color="auto" w:fill="auto"/>
            <w:vAlign w:val="center"/>
          </w:tcPr>
          <w:p w14:paraId="71926CF7"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196B2DBA" w14:textId="77777777" w:rsidR="00C25DC3" w:rsidRPr="0080220E" w:rsidRDefault="00C25DC3" w:rsidP="00515FA6">
            <w:pPr>
              <w:spacing w:after="120"/>
              <w:rPr>
                <w:rFonts w:ascii="Garamond" w:hAnsi="Garamond"/>
                <w:bCs/>
                <w:sz w:val="24"/>
              </w:rPr>
            </w:pPr>
            <w:r w:rsidRPr="0080220E">
              <w:rPr>
                <w:rFonts w:ascii="Garamond" w:hAnsi="Garamond"/>
                <w:bCs/>
                <w:sz w:val="24"/>
              </w:rPr>
              <w:t>PG&amp;E</w:t>
            </w:r>
          </w:p>
        </w:tc>
        <w:tc>
          <w:tcPr>
            <w:tcW w:w="5016" w:type="dxa"/>
            <w:shd w:val="clear" w:color="auto" w:fill="auto"/>
            <w:vAlign w:val="center"/>
          </w:tcPr>
          <w:p w14:paraId="3FC604EC" w14:textId="77777777" w:rsidR="00C25DC3" w:rsidRPr="0080220E" w:rsidRDefault="00C25DC3" w:rsidP="00515FA6">
            <w:pPr>
              <w:spacing w:after="120"/>
              <w:rPr>
                <w:rFonts w:ascii="Garamond" w:hAnsi="Garamond"/>
                <w:bCs/>
                <w:sz w:val="24"/>
              </w:rPr>
            </w:pPr>
            <w:r w:rsidRPr="0080220E">
              <w:rPr>
                <w:rFonts w:ascii="Garamond" w:hAnsi="Garamond"/>
                <w:bCs/>
                <w:sz w:val="24"/>
              </w:rPr>
              <w:t>“Technology” field: PG&amp;E recommends adding “Various” or “Multiple” option in the drop-down list to capture unbundled RECs from various RPS-eligible resources.</w:t>
            </w:r>
          </w:p>
        </w:tc>
        <w:tc>
          <w:tcPr>
            <w:tcW w:w="2430" w:type="dxa"/>
            <w:shd w:val="clear" w:color="auto" w:fill="auto"/>
            <w:vAlign w:val="center"/>
          </w:tcPr>
          <w:p w14:paraId="2AB7AF19" w14:textId="77777777" w:rsidR="00C25DC3" w:rsidRPr="0080220E" w:rsidRDefault="00C25DC3" w:rsidP="00515FA6">
            <w:pPr>
              <w:spacing w:after="120"/>
              <w:rPr>
                <w:rFonts w:ascii="Garamond" w:hAnsi="Garamond"/>
                <w:bCs/>
                <w:sz w:val="24"/>
              </w:rPr>
            </w:pPr>
            <w:r w:rsidRPr="0080220E">
              <w:rPr>
                <w:rFonts w:ascii="Garamond" w:hAnsi="Garamond"/>
                <w:bCs/>
                <w:sz w:val="24"/>
              </w:rPr>
              <w:t>The “Technology” data field definition has been modified (at p. 7) within the “Static Contract Information” tab spreadsheet.</w:t>
            </w:r>
          </w:p>
        </w:tc>
      </w:tr>
      <w:tr w:rsidR="00C25DC3" w:rsidRPr="0080220E" w14:paraId="735880DC" w14:textId="77777777" w:rsidTr="00515FA6">
        <w:trPr>
          <w:trHeight w:val="1500"/>
        </w:trPr>
        <w:tc>
          <w:tcPr>
            <w:tcW w:w="2178" w:type="dxa"/>
            <w:vMerge/>
            <w:shd w:val="clear" w:color="auto" w:fill="auto"/>
            <w:vAlign w:val="center"/>
          </w:tcPr>
          <w:p w14:paraId="1A503B28" w14:textId="77777777" w:rsidR="00C25DC3" w:rsidRPr="0080220E" w:rsidRDefault="00C25DC3" w:rsidP="00515FA6">
            <w:pPr>
              <w:spacing w:after="120"/>
              <w:rPr>
                <w:rFonts w:ascii="Garamond" w:hAnsi="Garamond"/>
                <w:bCs/>
                <w:sz w:val="24"/>
              </w:rPr>
            </w:pPr>
          </w:p>
        </w:tc>
        <w:tc>
          <w:tcPr>
            <w:tcW w:w="1536" w:type="dxa"/>
            <w:shd w:val="clear" w:color="auto" w:fill="auto"/>
            <w:noWrap/>
            <w:vAlign w:val="center"/>
          </w:tcPr>
          <w:p w14:paraId="12FA2701" w14:textId="77777777" w:rsidR="00C25DC3" w:rsidRPr="0080220E" w:rsidRDefault="00C25DC3" w:rsidP="00515FA6">
            <w:pPr>
              <w:spacing w:after="120"/>
              <w:rPr>
                <w:rFonts w:ascii="Garamond" w:hAnsi="Garamond"/>
                <w:bCs/>
                <w:sz w:val="24"/>
              </w:rPr>
            </w:pPr>
            <w:r w:rsidRPr="0080220E">
              <w:rPr>
                <w:rFonts w:ascii="Garamond" w:hAnsi="Garamond"/>
                <w:bCs/>
                <w:sz w:val="24"/>
              </w:rPr>
              <w:t>SCE</w:t>
            </w:r>
          </w:p>
        </w:tc>
        <w:tc>
          <w:tcPr>
            <w:tcW w:w="5016" w:type="dxa"/>
            <w:shd w:val="clear" w:color="auto" w:fill="auto"/>
            <w:vAlign w:val="center"/>
          </w:tcPr>
          <w:p w14:paraId="21B7110E" w14:textId="77777777" w:rsidR="00C25DC3" w:rsidRPr="0080220E" w:rsidRDefault="00C25DC3" w:rsidP="00515FA6">
            <w:pPr>
              <w:spacing w:after="120"/>
              <w:rPr>
                <w:rFonts w:ascii="Garamond" w:hAnsi="Garamond"/>
                <w:bCs/>
                <w:sz w:val="24"/>
              </w:rPr>
            </w:pPr>
            <w:r w:rsidRPr="0080220E">
              <w:rPr>
                <w:rFonts w:ascii="Garamond" w:hAnsi="Garamond"/>
                <w:bCs/>
                <w:sz w:val="24"/>
              </w:rPr>
              <w:t>“Resale” field: The Static Contract Information tab should offer options for both resale (sell) and resale (purchase) agreements.</w:t>
            </w:r>
          </w:p>
        </w:tc>
        <w:tc>
          <w:tcPr>
            <w:tcW w:w="2430" w:type="dxa"/>
            <w:shd w:val="clear" w:color="auto" w:fill="auto"/>
            <w:vAlign w:val="center"/>
          </w:tcPr>
          <w:p w14:paraId="071608B3" w14:textId="77777777" w:rsidR="00C25DC3" w:rsidRPr="0080220E" w:rsidRDefault="00C25DC3" w:rsidP="00515FA6">
            <w:pPr>
              <w:spacing w:after="120"/>
              <w:rPr>
                <w:rFonts w:ascii="Garamond" w:hAnsi="Garamond"/>
                <w:bCs/>
                <w:sz w:val="24"/>
              </w:rPr>
            </w:pPr>
            <w:r w:rsidRPr="0080220E">
              <w:rPr>
                <w:rFonts w:ascii="Garamond" w:hAnsi="Garamond"/>
                <w:bCs/>
                <w:sz w:val="24"/>
              </w:rPr>
              <w:t>The “Static Contract Information” tab instructions/data definitions have been modified to provide more clarity.</w:t>
            </w:r>
          </w:p>
        </w:tc>
      </w:tr>
    </w:tbl>
    <w:p w14:paraId="25545CDA" w14:textId="77777777" w:rsidR="00C25DC3" w:rsidRPr="0080220E" w:rsidRDefault="00C25DC3" w:rsidP="00C25DC3">
      <w:pPr>
        <w:spacing w:after="120"/>
        <w:jc w:val="center"/>
        <w:rPr>
          <w:rFonts w:ascii="Garamond" w:hAnsi="Garamond"/>
          <w:bCs/>
          <w:sz w:val="24"/>
        </w:rPr>
      </w:pPr>
    </w:p>
    <w:p w14:paraId="307AE473" w14:textId="77777777" w:rsidR="00C25DC3" w:rsidRPr="0080220E" w:rsidRDefault="00C25DC3" w:rsidP="00C25DC3">
      <w:pPr>
        <w:spacing w:after="120"/>
        <w:rPr>
          <w:rFonts w:ascii="Garamond" w:hAnsi="Garamond"/>
          <w:bCs/>
          <w:sz w:val="24"/>
        </w:rPr>
      </w:pPr>
      <w:r w:rsidRPr="0080220E">
        <w:rPr>
          <w:rFonts w:ascii="Garamond" w:hAnsi="Garamond"/>
          <w:bCs/>
          <w:sz w:val="24"/>
        </w:rPr>
        <w:br w:type="page"/>
      </w:r>
    </w:p>
    <w:p w14:paraId="1810C6B0" w14:textId="2EB29D79" w:rsidR="003C17BB" w:rsidRPr="00DA353D" w:rsidRDefault="003C17BB" w:rsidP="00DA353D">
      <w:pPr>
        <w:pStyle w:val="Heading1"/>
      </w:pPr>
      <w:bookmarkStart w:id="54" w:name="_Toc40196458"/>
      <w:r w:rsidRPr="00FC0D23">
        <w:lastRenderedPageBreak/>
        <w:t>Appendix B</w:t>
      </w:r>
      <w:r w:rsidR="00A07754" w:rsidRPr="00FC0D23">
        <w:t xml:space="preserve">: </w:t>
      </w:r>
      <w:r w:rsidRPr="00FC0D23">
        <w:t>Matrix of Revisions Incorporated into the RPS Compliance Report template</w:t>
      </w:r>
      <w:bookmarkEnd w:id="54"/>
    </w:p>
    <w:p w14:paraId="56A3121F" w14:textId="5F7951D3" w:rsidR="003C17BB" w:rsidRPr="0080220E" w:rsidRDefault="003C17BB" w:rsidP="003C17BB">
      <w:pPr>
        <w:spacing w:after="120"/>
        <w:jc w:val="both"/>
        <w:rPr>
          <w:rFonts w:ascii="Garamond" w:hAnsi="Garamond"/>
          <w:bCs/>
          <w:sz w:val="24"/>
        </w:rPr>
      </w:pPr>
      <w:r w:rsidRPr="0080220E">
        <w:rPr>
          <w:rFonts w:ascii="Garamond" w:hAnsi="Garamond"/>
          <w:bCs/>
          <w:sz w:val="24"/>
        </w:rPr>
        <w:t>Revisions are based on stakeholder feedback provided through informal comments sent to the R.18-07-003 service list in response to the Energy Division RPS Reporting Workshop held on February 27, 2020</w:t>
      </w:r>
      <w:r w:rsidR="00F979BE">
        <w:rPr>
          <w:rFonts w:ascii="Garamond" w:hAnsi="Garamond"/>
          <w:bCs/>
          <w:sz w:val="24"/>
        </w:rPr>
        <w:t xml:space="preserve">. </w:t>
      </w:r>
    </w:p>
    <w:p w14:paraId="759ACDAA" w14:textId="77777777" w:rsidR="00C25DC3" w:rsidRPr="00DA353D" w:rsidRDefault="00C25DC3" w:rsidP="00C25DC3">
      <w:pPr>
        <w:spacing w:after="120"/>
        <w:jc w:val="center"/>
        <w:rPr>
          <w:rFonts w:ascii="Garamond" w:hAnsi="Garamond"/>
          <w:bCs/>
          <w:sz w:val="24"/>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31"/>
        <w:gridCol w:w="3042"/>
        <w:gridCol w:w="3979"/>
      </w:tblGrid>
      <w:tr w:rsidR="00DA353D" w:rsidRPr="001A14F5" w14:paraId="1321A325" w14:textId="77777777" w:rsidTr="00DA353D">
        <w:trPr>
          <w:trHeight w:val="600"/>
          <w:tblHeader/>
        </w:trPr>
        <w:tc>
          <w:tcPr>
            <w:tcW w:w="11160" w:type="dxa"/>
            <w:gridSpan w:val="4"/>
            <w:shd w:val="clear" w:color="auto" w:fill="auto"/>
            <w:vAlign w:val="center"/>
          </w:tcPr>
          <w:p w14:paraId="797B881C" w14:textId="16023DCE" w:rsidR="00DA353D" w:rsidRPr="00DA353D" w:rsidRDefault="00DA353D" w:rsidP="00C02FD5">
            <w:pPr>
              <w:spacing w:after="120"/>
              <w:jc w:val="center"/>
              <w:rPr>
                <w:rFonts w:ascii="Garamond" w:hAnsi="Garamond"/>
                <w:bCs/>
                <w:color w:val="FFFFFF"/>
                <w:sz w:val="24"/>
              </w:rPr>
            </w:pPr>
            <w:r w:rsidRPr="00DA353D">
              <w:rPr>
                <w:rFonts w:ascii="Garamond" w:hAnsi="Garamond"/>
                <w:b/>
                <w:sz w:val="28"/>
                <w:szCs w:val="28"/>
              </w:rPr>
              <w:t>Matrix of Revisions to</w:t>
            </w:r>
            <w:r>
              <w:rPr>
                <w:rFonts w:ascii="Garamond" w:hAnsi="Garamond"/>
                <w:b/>
                <w:sz w:val="28"/>
                <w:szCs w:val="28"/>
              </w:rPr>
              <w:t xml:space="preserve"> RPS Compliance Reporting Process and Templates – 2020 </w:t>
            </w:r>
          </w:p>
        </w:tc>
      </w:tr>
      <w:tr w:rsidR="00B24488" w:rsidRPr="001A14F5" w14:paraId="7C83ECBA" w14:textId="77777777" w:rsidTr="00D22712">
        <w:trPr>
          <w:trHeight w:val="600"/>
          <w:tblHeader/>
        </w:trPr>
        <w:tc>
          <w:tcPr>
            <w:tcW w:w="2497" w:type="dxa"/>
            <w:tcBorders>
              <w:right w:val="nil"/>
            </w:tcBorders>
            <w:shd w:val="clear" w:color="auto" w:fill="A6A6A6"/>
            <w:vAlign w:val="center"/>
            <w:hideMark/>
          </w:tcPr>
          <w:p w14:paraId="3AE9B964" w14:textId="77777777" w:rsidR="00A07754" w:rsidRPr="00DA353D" w:rsidRDefault="00A07754" w:rsidP="00C02FD5">
            <w:pPr>
              <w:spacing w:after="120"/>
              <w:jc w:val="center"/>
              <w:rPr>
                <w:rFonts w:ascii="Garamond" w:hAnsi="Garamond"/>
                <w:bCs/>
                <w:color w:val="FFFFFF"/>
                <w:sz w:val="24"/>
              </w:rPr>
            </w:pPr>
          </w:p>
        </w:tc>
        <w:tc>
          <w:tcPr>
            <w:tcW w:w="1338" w:type="dxa"/>
            <w:tcBorders>
              <w:left w:val="nil"/>
              <w:right w:val="nil"/>
            </w:tcBorders>
            <w:shd w:val="clear" w:color="auto" w:fill="A6A6A6"/>
            <w:vAlign w:val="center"/>
            <w:hideMark/>
          </w:tcPr>
          <w:p w14:paraId="337A0B9E" w14:textId="77777777" w:rsidR="00A07754" w:rsidRPr="00DA353D" w:rsidRDefault="00A07754" w:rsidP="00C02FD5">
            <w:pPr>
              <w:spacing w:after="120"/>
              <w:jc w:val="center"/>
              <w:rPr>
                <w:rFonts w:ascii="Garamond" w:hAnsi="Garamond"/>
                <w:bCs/>
                <w:color w:val="FFFFFF"/>
                <w:sz w:val="24"/>
              </w:rPr>
            </w:pPr>
            <w:r w:rsidRPr="00DA353D">
              <w:rPr>
                <w:rFonts w:ascii="Garamond" w:hAnsi="Garamond"/>
                <w:bCs/>
                <w:color w:val="FFFFFF"/>
                <w:sz w:val="24"/>
              </w:rPr>
              <w:t>Commenting Party</w:t>
            </w:r>
          </w:p>
        </w:tc>
        <w:tc>
          <w:tcPr>
            <w:tcW w:w="3162" w:type="dxa"/>
            <w:tcBorders>
              <w:left w:val="nil"/>
              <w:right w:val="nil"/>
            </w:tcBorders>
            <w:shd w:val="clear" w:color="auto" w:fill="A6A6A6"/>
            <w:vAlign w:val="center"/>
            <w:hideMark/>
          </w:tcPr>
          <w:p w14:paraId="6C1C8184" w14:textId="77777777" w:rsidR="00A07754" w:rsidRPr="00DA353D" w:rsidRDefault="00A07754" w:rsidP="00C02FD5">
            <w:pPr>
              <w:spacing w:after="120"/>
              <w:jc w:val="center"/>
              <w:rPr>
                <w:rFonts w:ascii="Garamond" w:hAnsi="Garamond"/>
                <w:bCs/>
                <w:color w:val="FFFFFF"/>
                <w:sz w:val="24"/>
              </w:rPr>
            </w:pPr>
            <w:r w:rsidRPr="00DA353D">
              <w:rPr>
                <w:rFonts w:ascii="Garamond" w:hAnsi="Garamond"/>
                <w:bCs/>
                <w:color w:val="FFFFFF"/>
                <w:sz w:val="24"/>
              </w:rPr>
              <w:t>Change Requested</w:t>
            </w:r>
          </w:p>
        </w:tc>
        <w:tc>
          <w:tcPr>
            <w:tcW w:w="4163" w:type="dxa"/>
            <w:tcBorders>
              <w:left w:val="nil"/>
            </w:tcBorders>
            <w:shd w:val="clear" w:color="auto" w:fill="A6A6A6"/>
            <w:vAlign w:val="center"/>
            <w:hideMark/>
          </w:tcPr>
          <w:p w14:paraId="1CA18BFB" w14:textId="77777777" w:rsidR="00A07754" w:rsidRPr="00DA353D" w:rsidRDefault="00A07754" w:rsidP="00C02FD5">
            <w:pPr>
              <w:spacing w:after="120"/>
              <w:jc w:val="center"/>
              <w:rPr>
                <w:rFonts w:ascii="Garamond" w:hAnsi="Garamond"/>
                <w:bCs/>
                <w:color w:val="FFFFFF"/>
                <w:sz w:val="24"/>
              </w:rPr>
            </w:pPr>
            <w:r w:rsidRPr="00DA353D">
              <w:rPr>
                <w:rFonts w:ascii="Garamond" w:hAnsi="Garamond"/>
                <w:bCs/>
                <w:color w:val="FFFFFF"/>
                <w:sz w:val="24"/>
              </w:rPr>
              <w:t>Energy Division Solution</w:t>
            </w:r>
          </w:p>
        </w:tc>
      </w:tr>
      <w:tr w:rsidR="00A86F3B" w:rsidRPr="001A14F5" w14:paraId="0DCB00CD" w14:textId="77777777" w:rsidTr="00D22712">
        <w:trPr>
          <w:trHeight w:val="3300"/>
        </w:trPr>
        <w:tc>
          <w:tcPr>
            <w:tcW w:w="2497" w:type="dxa"/>
            <w:shd w:val="clear" w:color="auto" w:fill="auto"/>
            <w:vAlign w:val="center"/>
            <w:hideMark/>
          </w:tcPr>
          <w:p w14:paraId="1839DA9F" w14:textId="019799B9" w:rsidR="00A07754" w:rsidRPr="001A14F5" w:rsidRDefault="009A4408" w:rsidP="00C02FD5">
            <w:pPr>
              <w:spacing w:after="120"/>
              <w:jc w:val="center"/>
              <w:rPr>
                <w:rFonts w:ascii="Garamond" w:hAnsi="Garamond"/>
                <w:bCs/>
                <w:sz w:val="24"/>
              </w:rPr>
            </w:pPr>
            <w:r w:rsidRPr="001A14F5">
              <w:rPr>
                <w:rFonts w:ascii="Garamond" w:hAnsi="Garamond"/>
                <w:bCs/>
                <w:sz w:val="24"/>
              </w:rPr>
              <w:t>Compliance Report</w:t>
            </w:r>
            <w:r w:rsidR="00FA373B" w:rsidRPr="001A14F5">
              <w:rPr>
                <w:rFonts w:ascii="Garamond" w:hAnsi="Garamond"/>
                <w:bCs/>
                <w:sz w:val="24"/>
              </w:rPr>
              <w:t xml:space="preserve">ing: </w:t>
            </w:r>
            <w:r w:rsidRPr="001A14F5">
              <w:rPr>
                <w:rFonts w:ascii="Garamond" w:hAnsi="Garamond"/>
                <w:bCs/>
                <w:sz w:val="24"/>
              </w:rPr>
              <w:t>Process</w:t>
            </w:r>
          </w:p>
        </w:tc>
        <w:tc>
          <w:tcPr>
            <w:tcW w:w="1338" w:type="dxa"/>
            <w:shd w:val="clear" w:color="auto" w:fill="auto"/>
            <w:noWrap/>
            <w:vAlign w:val="center"/>
            <w:hideMark/>
          </w:tcPr>
          <w:p w14:paraId="7E84D09D" w14:textId="13783352" w:rsidR="00A07754" w:rsidRPr="001A14F5" w:rsidRDefault="009A4408" w:rsidP="00C02FD5">
            <w:pPr>
              <w:spacing w:after="120"/>
              <w:rPr>
                <w:rFonts w:ascii="Garamond" w:hAnsi="Garamond"/>
                <w:bCs/>
                <w:sz w:val="24"/>
              </w:rPr>
            </w:pPr>
            <w:r w:rsidRPr="001A14F5">
              <w:rPr>
                <w:rFonts w:ascii="Garamond" w:hAnsi="Garamond"/>
                <w:bCs/>
                <w:sz w:val="24"/>
              </w:rPr>
              <w:t xml:space="preserve">Joint IOUs, Public Advocates Office, </w:t>
            </w:r>
            <w:r w:rsidR="00F908CE" w:rsidRPr="001A14F5">
              <w:rPr>
                <w:rFonts w:ascii="Garamond" w:hAnsi="Garamond"/>
                <w:bCs/>
                <w:sz w:val="24"/>
              </w:rPr>
              <w:t>Joint CCAs</w:t>
            </w:r>
          </w:p>
        </w:tc>
        <w:tc>
          <w:tcPr>
            <w:tcW w:w="3162" w:type="dxa"/>
            <w:shd w:val="clear" w:color="auto" w:fill="auto"/>
            <w:vAlign w:val="center"/>
          </w:tcPr>
          <w:p w14:paraId="67BCD28B" w14:textId="59072F72" w:rsidR="00920BC4" w:rsidRPr="00DA353D" w:rsidRDefault="00920BC4">
            <w:pPr>
              <w:spacing w:after="120"/>
              <w:rPr>
                <w:rFonts w:ascii="Garamond" w:hAnsi="Garamond"/>
                <w:sz w:val="24"/>
              </w:rPr>
            </w:pPr>
            <w:r w:rsidRPr="00DA353D">
              <w:rPr>
                <w:rFonts w:ascii="Garamond" w:hAnsi="Garamond"/>
                <w:sz w:val="24"/>
              </w:rPr>
              <w:t xml:space="preserve">Joint CCAs </w:t>
            </w:r>
            <w:r w:rsidR="004E7F89" w:rsidRPr="001A14F5">
              <w:rPr>
                <w:rFonts w:ascii="Garamond" w:hAnsi="Garamond"/>
                <w:sz w:val="24"/>
              </w:rPr>
              <w:t>propose that</w:t>
            </w:r>
            <w:r w:rsidRPr="00DA353D">
              <w:rPr>
                <w:rFonts w:ascii="Garamond" w:hAnsi="Garamond"/>
                <w:sz w:val="24"/>
              </w:rPr>
              <w:t xml:space="preserve"> Energy Division </w:t>
            </w:r>
            <w:r w:rsidR="00517529" w:rsidRPr="001A14F5">
              <w:rPr>
                <w:rFonts w:ascii="Garamond" w:hAnsi="Garamond"/>
                <w:sz w:val="24"/>
              </w:rPr>
              <w:t xml:space="preserve">(ED) </w:t>
            </w:r>
            <w:r w:rsidRPr="00DA353D">
              <w:rPr>
                <w:rFonts w:ascii="Garamond" w:hAnsi="Garamond"/>
                <w:sz w:val="24"/>
              </w:rPr>
              <w:t>staff release draft versions of the templates early enough in the reporting cycles to allow parties to identify errors or recommend improvements</w:t>
            </w:r>
            <w:r w:rsidR="004E7F89" w:rsidRPr="001A14F5">
              <w:rPr>
                <w:rFonts w:ascii="Garamond" w:hAnsi="Garamond"/>
                <w:sz w:val="24"/>
              </w:rPr>
              <w:t>.</w:t>
            </w:r>
            <w:r w:rsidRPr="00DA353D">
              <w:rPr>
                <w:rFonts w:ascii="Garamond" w:hAnsi="Garamond"/>
                <w:sz w:val="24"/>
              </w:rPr>
              <w:t xml:space="preserve"> </w:t>
            </w:r>
          </w:p>
          <w:p w14:paraId="4844027B" w14:textId="2C6C6645" w:rsidR="00A07754" w:rsidRPr="001E26C3" w:rsidRDefault="00AA01F3">
            <w:pPr>
              <w:spacing w:after="120"/>
              <w:rPr>
                <w:rFonts w:ascii="Garamond" w:hAnsi="Garamond"/>
                <w:sz w:val="24"/>
              </w:rPr>
            </w:pPr>
            <w:r w:rsidRPr="00DA353D">
              <w:rPr>
                <w:rFonts w:ascii="Garamond" w:hAnsi="Garamond"/>
                <w:sz w:val="24"/>
              </w:rPr>
              <w:t>Joint IOUs propose that E</w:t>
            </w:r>
            <w:r w:rsidR="00517529" w:rsidRPr="001A14F5">
              <w:rPr>
                <w:rFonts w:ascii="Garamond" w:hAnsi="Garamond"/>
                <w:sz w:val="24"/>
              </w:rPr>
              <w:t>D</w:t>
            </w:r>
            <w:r w:rsidRPr="00DA353D">
              <w:rPr>
                <w:rFonts w:ascii="Garamond" w:hAnsi="Garamond"/>
                <w:sz w:val="24"/>
              </w:rPr>
              <w:t xml:space="preserve"> should provide RPS Compliance Report templates by June 1 each year with no revisions allowed after the template has been provided.</w:t>
            </w:r>
            <w:r w:rsidR="00383385" w:rsidRPr="00DA353D">
              <w:rPr>
                <w:rFonts w:ascii="Garamond" w:hAnsi="Garamond"/>
                <w:sz w:val="24"/>
              </w:rPr>
              <w:t xml:space="preserve"> Public Advocates Office and Joint CCAs support this proposal. </w:t>
            </w:r>
          </w:p>
        </w:tc>
        <w:tc>
          <w:tcPr>
            <w:tcW w:w="4163" w:type="dxa"/>
            <w:shd w:val="clear" w:color="auto" w:fill="auto"/>
            <w:vAlign w:val="center"/>
            <w:hideMark/>
          </w:tcPr>
          <w:p w14:paraId="742014CD" w14:textId="39E42648" w:rsidR="00A07754" w:rsidRPr="001A14F5" w:rsidRDefault="004E7F89" w:rsidP="00C02FD5">
            <w:pPr>
              <w:spacing w:after="120"/>
              <w:rPr>
                <w:rFonts w:ascii="Garamond" w:hAnsi="Garamond"/>
                <w:bCs/>
                <w:sz w:val="24"/>
              </w:rPr>
            </w:pPr>
            <w:r w:rsidRPr="001A14F5">
              <w:rPr>
                <w:rFonts w:ascii="Garamond" w:hAnsi="Garamond"/>
                <w:bCs/>
                <w:sz w:val="24"/>
              </w:rPr>
              <w:t>Energy Division</w:t>
            </w:r>
            <w:r w:rsidR="0079506A" w:rsidRPr="001A14F5">
              <w:rPr>
                <w:rFonts w:ascii="Garamond" w:hAnsi="Garamond"/>
                <w:bCs/>
                <w:sz w:val="24"/>
              </w:rPr>
              <w:t xml:space="preserve"> (ED)</w:t>
            </w:r>
            <w:r w:rsidRPr="001A14F5">
              <w:rPr>
                <w:rFonts w:ascii="Garamond" w:hAnsi="Garamond"/>
                <w:bCs/>
                <w:sz w:val="24"/>
              </w:rPr>
              <w:t xml:space="preserve"> staff will release draft version of the templates </w:t>
            </w:r>
            <w:r w:rsidR="007B1FB6">
              <w:rPr>
                <w:rFonts w:ascii="Garamond" w:hAnsi="Garamond"/>
                <w:bCs/>
                <w:sz w:val="24"/>
              </w:rPr>
              <w:t>at least</w:t>
            </w:r>
            <w:r w:rsidRPr="001A14F5">
              <w:rPr>
                <w:rFonts w:ascii="Garamond" w:hAnsi="Garamond"/>
                <w:bCs/>
                <w:sz w:val="24"/>
              </w:rPr>
              <w:t xml:space="preserve"> </w:t>
            </w:r>
            <w:r w:rsidR="007B1FB6">
              <w:rPr>
                <w:rFonts w:ascii="Garamond" w:hAnsi="Garamond"/>
                <w:bCs/>
                <w:sz w:val="24"/>
              </w:rPr>
              <w:t>2.5</w:t>
            </w:r>
            <w:r w:rsidRPr="001A14F5">
              <w:rPr>
                <w:rFonts w:ascii="Garamond" w:hAnsi="Garamond"/>
                <w:bCs/>
                <w:sz w:val="24"/>
              </w:rPr>
              <w:t xml:space="preserve"> months before August 1. </w:t>
            </w:r>
            <w:r w:rsidR="002C399B" w:rsidRPr="001A14F5">
              <w:rPr>
                <w:rFonts w:ascii="Garamond" w:hAnsi="Garamond"/>
                <w:bCs/>
                <w:sz w:val="24"/>
              </w:rPr>
              <w:t xml:space="preserve">There will be a two-week informal comment period, and the final templates will be posted no later than July 1. </w:t>
            </w:r>
          </w:p>
        </w:tc>
      </w:tr>
      <w:tr w:rsidR="0033699E" w:rsidRPr="001A14F5" w14:paraId="79A6FBC1" w14:textId="77777777" w:rsidTr="00D22712">
        <w:trPr>
          <w:trHeight w:val="620"/>
        </w:trPr>
        <w:tc>
          <w:tcPr>
            <w:tcW w:w="2497" w:type="dxa"/>
            <w:shd w:val="clear" w:color="auto" w:fill="auto"/>
            <w:vAlign w:val="center"/>
          </w:tcPr>
          <w:p w14:paraId="3FEA638F" w14:textId="103A8944" w:rsidR="00A07754" w:rsidRPr="001A14F5" w:rsidRDefault="002D0155" w:rsidP="00C02FD5">
            <w:pPr>
              <w:spacing w:after="120"/>
              <w:jc w:val="center"/>
              <w:rPr>
                <w:rFonts w:ascii="Garamond" w:hAnsi="Garamond"/>
                <w:bCs/>
                <w:sz w:val="24"/>
              </w:rPr>
            </w:pPr>
            <w:r w:rsidRPr="001A14F5">
              <w:rPr>
                <w:rFonts w:ascii="Garamond" w:hAnsi="Garamond"/>
                <w:bCs/>
                <w:sz w:val="24"/>
              </w:rPr>
              <w:t>Compliance Report</w:t>
            </w:r>
            <w:r w:rsidR="00FA373B" w:rsidRPr="001A14F5">
              <w:rPr>
                <w:rFonts w:ascii="Garamond" w:hAnsi="Garamond"/>
                <w:bCs/>
                <w:sz w:val="24"/>
              </w:rPr>
              <w:t>ing:</w:t>
            </w:r>
            <w:r w:rsidRPr="001A14F5">
              <w:rPr>
                <w:rFonts w:ascii="Garamond" w:hAnsi="Garamond"/>
                <w:bCs/>
                <w:sz w:val="24"/>
              </w:rPr>
              <w:t xml:space="preserve"> Process </w:t>
            </w:r>
          </w:p>
        </w:tc>
        <w:tc>
          <w:tcPr>
            <w:tcW w:w="1338" w:type="dxa"/>
            <w:shd w:val="clear" w:color="auto" w:fill="auto"/>
            <w:noWrap/>
            <w:vAlign w:val="center"/>
          </w:tcPr>
          <w:p w14:paraId="1DFA2970" w14:textId="7086C3AC" w:rsidR="00A07754" w:rsidRPr="001A14F5" w:rsidRDefault="00517529" w:rsidP="00C02FD5">
            <w:pPr>
              <w:spacing w:after="120"/>
              <w:rPr>
                <w:rFonts w:ascii="Garamond" w:hAnsi="Garamond"/>
                <w:bCs/>
                <w:sz w:val="24"/>
              </w:rPr>
            </w:pPr>
            <w:r w:rsidRPr="001A14F5">
              <w:rPr>
                <w:rFonts w:ascii="Garamond" w:hAnsi="Garamond"/>
                <w:bCs/>
                <w:sz w:val="24"/>
              </w:rPr>
              <w:t>Joint IOUs</w:t>
            </w:r>
          </w:p>
        </w:tc>
        <w:tc>
          <w:tcPr>
            <w:tcW w:w="3162" w:type="dxa"/>
            <w:shd w:val="clear" w:color="auto" w:fill="auto"/>
            <w:vAlign w:val="center"/>
          </w:tcPr>
          <w:p w14:paraId="211461EA" w14:textId="05262C92" w:rsidR="00A07754" w:rsidRPr="00DA353D" w:rsidRDefault="00517529">
            <w:pPr>
              <w:spacing w:after="120"/>
              <w:rPr>
                <w:rFonts w:ascii="Garamond" w:hAnsi="Garamond"/>
                <w:bCs/>
                <w:sz w:val="24"/>
              </w:rPr>
            </w:pPr>
            <w:r w:rsidRPr="00DA353D">
              <w:rPr>
                <w:rFonts w:ascii="Garamond" w:hAnsi="Garamond"/>
                <w:bCs/>
                <w:sz w:val="24"/>
              </w:rPr>
              <w:t>Joint IOUs propose that ED staff should clarify that the R</w:t>
            </w:r>
            <w:r w:rsidRPr="001A14F5">
              <w:rPr>
                <w:rFonts w:ascii="Garamond" w:hAnsi="Garamond"/>
                <w:bCs/>
                <w:sz w:val="24"/>
              </w:rPr>
              <w:t xml:space="preserve">enewable Net Short </w:t>
            </w:r>
            <w:r w:rsidR="003B18B5" w:rsidRPr="001A14F5">
              <w:rPr>
                <w:rFonts w:ascii="Garamond" w:hAnsi="Garamond"/>
                <w:bCs/>
                <w:sz w:val="24"/>
              </w:rPr>
              <w:t xml:space="preserve">(RNS) </w:t>
            </w:r>
            <w:r w:rsidRPr="001A14F5">
              <w:rPr>
                <w:rFonts w:ascii="Garamond" w:hAnsi="Garamond"/>
                <w:bCs/>
                <w:sz w:val="24"/>
              </w:rPr>
              <w:t>calculations</w:t>
            </w:r>
            <w:r w:rsidRPr="00DA353D">
              <w:rPr>
                <w:rFonts w:ascii="Garamond" w:hAnsi="Garamond"/>
                <w:bCs/>
                <w:sz w:val="24"/>
              </w:rPr>
              <w:t xml:space="preserve"> and </w:t>
            </w:r>
            <w:r w:rsidRPr="001A14F5">
              <w:rPr>
                <w:rFonts w:ascii="Garamond" w:hAnsi="Garamond"/>
                <w:bCs/>
                <w:sz w:val="24"/>
              </w:rPr>
              <w:t xml:space="preserve">the </w:t>
            </w:r>
            <w:r w:rsidRPr="00DA353D">
              <w:rPr>
                <w:rFonts w:ascii="Garamond" w:hAnsi="Garamond"/>
                <w:bCs/>
                <w:sz w:val="24"/>
              </w:rPr>
              <w:t>Siting and Permitting Status of RPS Projects</w:t>
            </w:r>
            <w:r w:rsidRPr="001A14F5">
              <w:rPr>
                <w:rFonts w:ascii="Garamond" w:hAnsi="Garamond"/>
                <w:bCs/>
                <w:sz w:val="24"/>
              </w:rPr>
              <w:t xml:space="preserve"> tables</w:t>
            </w:r>
            <w:r w:rsidRPr="00DA353D">
              <w:rPr>
                <w:rFonts w:ascii="Garamond" w:hAnsi="Garamond"/>
                <w:bCs/>
                <w:sz w:val="24"/>
              </w:rPr>
              <w:t xml:space="preserve"> should only be submitted with the </w:t>
            </w:r>
            <w:r w:rsidRPr="001A14F5">
              <w:rPr>
                <w:rFonts w:ascii="Garamond" w:hAnsi="Garamond"/>
                <w:bCs/>
                <w:sz w:val="24"/>
              </w:rPr>
              <w:t>annual Procurement Plan</w:t>
            </w:r>
            <w:r w:rsidRPr="00DA353D">
              <w:rPr>
                <w:rFonts w:ascii="Garamond" w:hAnsi="Garamond"/>
                <w:bCs/>
                <w:sz w:val="24"/>
              </w:rPr>
              <w:t xml:space="preserve">s and not the </w:t>
            </w:r>
            <w:r w:rsidRPr="001A14F5">
              <w:rPr>
                <w:rFonts w:ascii="Garamond" w:hAnsi="Garamond"/>
                <w:bCs/>
                <w:sz w:val="24"/>
              </w:rPr>
              <w:t>annual Compliance Report</w:t>
            </w:r>
            <w:r w:rsidRPr="00DA353D">
              <w:rPr>
                <w:rFonts w:ascii="Garamond" w:hAnsi="Garamond"/>
                <w:bCs/>
                <w:sz w:val="24"/>
              </w:rPr>
              <w:t>s</w:t>
            </w:r>
            <w:r w:rsidRPr="001A14F5">
              <w:rPr>
                <w:rFonts w:ascii="Garamond" w:hAnsi="Garamond"/>
                <w:bCs/>
                <w:sz w:val="24"/>
              </w:rPr>
              <w:t xml:space="preserve">. </w:t>
            </w:r>
          </w:p>
        </w:tc>
        <w:tc>
          <w:tcPr>
            <w:tcW w:w="4163" w:type="dxa"/>
            <w:shd w:val="clear" w:color="auto" w:fill="auto"/>
            <w:vAlign w:val="center"/>
            <w:hideMark/>
          </w:tcPr>
          <w:p w14:paraId="25FD18A3" w14:textId="35FD6C85" w:rsidR="00A07754" w:rsidRPr="001A14F5" w:rsidRDefault="00DA353D" w:rsidP="00C02FD5">
            <w:pPr>
              <w:spacing w:after="120"/>
              <w:rPr>
                <w:rFonts w:ascii="Garamond" w:hAnsi="Garamond"/>
                <w:bCs/>
                <w:sz w:val="24"/>
              </w:rPr>
            </w:pPr>
            <w:r>
              <w:rPr>
                <w:rFonts w:ascii="Garamond" w:hAnsi="Garamond"/>
                <w:bCs/>
                <w:sz w:val="24"/>
              </w:rPr>
              <w:t>S</w:t>
            </w:r>
            <w:r w:rsidR="003B18B5" w:rsidRPr="001A14F5">
              <w:rPr>
                <w:rFonts w:ascii="Garamond" w:hAnsi="Garamond"/>
                <w:bCs/>
                <w:sz w:val="24"/>
              </w:rPr>
              <w:t xml:space="preserve">taff </w:t>
            </w:r>
            <w:r w:rsidR="00765EF2">
              <w:rPr>
                <w:rFonts w:ascii="Garamond" w:hAnsi="Garamond"/>
                <w:bCs/>
                <w:sz w:val="24"/>
              </w:rPr>
              <w:t>clarify</w:t>
            </w:r>
            <w:r w:rsidR="003B18B5" w:rsidRPr="001A14F5">
              <w:rPr>
                <w:rFonts w:ascii="Garamond" w:hAnsi="Garamond"/>
                <w:bCs/>
                <w:sz w:val="24"/>
              </w:rPr>
              <w:t xml:space="preserve"> that the RNS </w:t>
            </w:r>
            <w:r w:rsidR="00323618" w:rsidRPr="001A14F5">
              <w:rPr>
                <w:rFonts w:ascii="Garamond" w:hAnsi="Garamond"/>
                <w:bCs/>
                <w:sz w:val="24"/>
              </w:rPr>
              <w:t>calculations</w:t>
            </w:r>
            <w:r w:rsidR="003B18B5" w:rsidRPr="001A14F5">
              <w:rPr>
                <w:rFonts w:ascii="Garamond" w:hAnsi="Garamond"/>
                <w:bCs/>
                <w:sz w:val="24"/>
              </w:rPr>
              <w:t xml:space="preserve"> should only be submitted with the </w:t>
            </w:r>
            <w:r w:rsidR="00323618" w:rsidRPr="001A14F5">
              <w:rPr>
                <w:rFonts w:ascii="Garamond" w:hAnsi="Garamond"/>
                <w:bCs/>
                <w:sz w:val="24"/>
              </w:rPr>
              <w:t>P</w:t>
            </w:r>
            <w:r w:rsidR="003B18B5" w:rsidRPr="001A14F5">
              <w:rPr>
                <w:rFonts w:ascii="Garamond" w:hAnsi="Garamond"/>
                <w:bCs/>
                <w:sz w:val="24"/>
              </w:rPr>
              <w:t xml:space="preserve">rocurement </w:t>
            </w:r>
            <w:r w:rsidR="00323618" w:rsidRPr="001A14F5">
              <w:rPr>
                <w:rFonts w:ascii="Garamond" w:hAnsi="Garamond"/>
                <w:bCs/>
                <w:sz w:val="24"/>
              </w:rPr>
              <w:t>P</w:t>
            </w:r>
            <w:r w:rsidR="003B18B5" w:rsidRPr="001A14F5">
              <w:rPr>
                <w:rFonts w:ascii="Garamond" w:hAnsi="Garamond"/>
                <w:bCs/>
                <w:sz w:val="24"/>
              </w:rPr>
              <w:t>lans</w:t>
            </w:r>
            <w:r w:rsidR="00A8580B" w:rsidRPr="001A14F5">
              <w:rPr>
                <w:rFonts w:ascii="Garamond" w:hAnsi="Garamond"/>
                <w:bCs/>
                <w:sz w:val="24"/>
              </w:rPr>
              <w:t xml:space="preserve">. </w:t>
            </w:r>
            <w:r w:rsidR="00583B10" w:rsidRPr="001A14F5">
              <w:rPr>
                <w:rFonts w:ascii="Garamond" w:hAnsi="Garamond"/>
                <w:bCs/>
                <w:sz w:val="24"/>
              </w:rPr>
              <w:t>All r</w:t>
            </w:r>
            <w:r w:rsidR="008A3C9D" w:rsidRPr="001A14F5">
              <w:rPr>
                <w:rFonts w:ascii="Garamond" w:hAnsi="Garamond"/>
                <w:bCs/>
                <w:sz w:val="24"/>
              </w:rPr>
              <w:t>etail sellers</w:t>
            </w:r>
            <w:r w:rsidR="00A8580B" w:rsidRPr="001A14F5">
              <w:rPr>
                <w:rFonts w:ascii="Garamond" w:hAnsi="Garamond"/>
                <w:bCs/>
                <w:sz w:val="24"/>
              </w:rPr>
              <w:t xml:space="preserve"> must submit information on the Siting and Permitting of new RPS resources in their Narrative Report within the annual Compliance Report, pursuant to Public Utilities Code Section 399.13(a)(3). </w:t>
            </w:r>
          </w:p>
        </w:tc>
      </w:tr>
      <w:tr w:rsidR="0033699E" w:rsidRPr="001A14F5" w14:paraId="1ECD7D91" w14:textId="77777777" w:rsidTr="00D22712">
        <w:trPr>
          <w:trHeight w:val="900"/>
        </w:trPr>
        <w:tc>
          <w:tcPr>
            <w:tcW w:w="2497" w:type="dxa"/>
            <w:tcBorders>
              <w:bottom w:val="single" w:sz="4" w:space="0" w:color="auto"/>
            </w:tcBorders>
            <w:shd w:val="clear" w:color="auto" w:fill="auto"/>
            <w:vAlign w:val="center"/>
          </w:tcPr>
          <w:p w14:paraId="16151373" w14:textId="4DAEEEF9" w:rsidR="00A07754" w:rsidRPr="001A14F5" w:rsidRDefault="00990E07" w:rsidP="00C02FD5">
            <w:pPr>
              <w:spacing w:after="120"/>
              <w:jc w:val="center"/>
              <w:rPr>
                <w:rFonts w:ascii="Garamond" w:hAnsi="Garamond"/>
                <w:bCs/>
                <w:sz w:val="24"/>
              </w:rPr>
            </w:pPr>
            <w:r w:rsidRPr="001A14F5">
              <w:rPr>
                <w:rFonts w:ascii="Garamond" w:hAnsi="Garamond"/>
                <w:bCs/>
                <w:sz w:val="24"/>
              </w:rPr>
              <w:t>Compliance Reporting Webinar</w:t>
            </w:r>
          </w:p>
        </w:tc>
        <w:tc>
          <w:tcPr>
            <w:tcW w:w="1338" w:type="dxa"/>
            <w:tcBorders>
              <w:bottom w:val="single" w:sz="4" w:space="0" w:color="auto"/>
            </w:tcBorders>
            <w:shd w:val="clear" w:color="auto" w:fill="auto"/>
            <w:noWrap/>
            <w:vAlign w:val="center"/>
          </w:tcPr>
          <w:p w14:paraId="4197F1D4" w14:textId="4F8EF182" w:rsidR="00A07754" w:rsidRPr="001A14F5" w:rsidRDefault="00491272" w:rsidP="00C02FD5">
            <w:pPr>
              <w:spacing w:after="120"/>
              <w:rPr>
                <w:rFonts w:ascii="Garamond" w:hAnsi="Garamond"/>
                <w:bCs/>
                <w:sz w:val="24"/>
              </w:rPr>
            </w:pPr>
            <w:r w:rsidRPr="001A14F5">
              <w:rPr>
                <w:rFonts w:ascii="Garamond" w:hAnsi="Garamond"/>
                <w:bCs/>
                <w:sz w:val="24"/>
              </w:rPr>
              <w:t>Joint IOUs, Public Advocates Office, Joint CCAs</w:t>
            </w:r>
          </w:p>
        </w:tc>
        <w:tc>
          <w:tcPr>
            <w:tcW w:w="3162" w:type="dxa"/>
            <w:tcBorders>
              <w:bottom w:val="single" w:sz="4" w:space="0" w:color="auto"/>
            </w:tcBorders>
            <w:shd w:val="clear" w:color="auto" w:fill="auto"/>
            <w:vAlign w:val="center"/>
          </w:tcPr>
          <w:p w14:paraId="7D251DB1" w14:textId="5A51B80E" w:rsidR="00A07754" w:rsidRPr="001A14F5" w:rsidRDefault="008D4C54">
            <w:pPr>
              <w:spacing w:after="120"/>
              <w:rPr>
                <w:rFonts w:ascii="Garamond" w:hAnsi="Garamond"/>
                <w:bCs/>
                <w:sz w:val="24"/>
              </w:rPr>
            </w:pPr>
            <w:r w:rsidRPr="00DA353D">
              <w:rPr>
                <w:rFonts w:ascii="Garamond" w:hAnsi="Garamond"/>
                <w:sz w:val="24"/>
              </w:rPr>
              <w:t xml:space="preserve">Joint CCAs and Joint IOUs propose annual RPS Reporting and Process Webinars with ED Staff to provide a forum where retail sellers may ask questions on requirements and processes. </w:t>
            </w:r>
            <w:r w:rsidR="0079506A" w:rsidRPr="00DA353D">
              <w:rPr>
                <w:rFonts w:ascii="Garamond" w:hAnsi="Garamond"/>
                <w:sz w:val="24"/>
              </w:rPr>
              <w:lastRenderedPageBreak/>
              <w:t xml:space="preserve">Public Advocates Office supports this proposal. </w:t>
            </w:r>
          </w:p>
        </w:tc>
        <w:tc>
          <w:tcPr>
            <w:tcW w:w="4163" w:type="dxa"/>
            <w:tcBorders>
              <w:bottom w:val="single" w:sz="4" w:space="0" w:color="auto"/>
            </w:tcBorders>
            <w:shd w:val="clear" w:color="auto" w:fill="auto"/>
            <w:vAlign w:val="center"/>
            <w:hideMark/>
          </w:tcPr>
          <w:p w14:paraId="13F0FAAD" w14:textId="2D5BF0FF" w:rsidR="00A07754" w:rsidRPr="001A14F5" w:rsidRDefault="00DA353D" w:rsidP="00C02FD5">
            <w:pPr>
              <w:spacing w:after="120"/>
              <w:rPr>
                <w:rFonts w:ascii="Garamond" w:hAnsi="Garamond"/>
                <w:bCs/>
                <w:sz w:val="24"/>
              </w:rPr>
            </w:pPr>
            <w:r>
              <w:rPr>
                <w:rFonts w:ascii="Garamond" w:hAnsi="Garamond"/>
                <w:bCs/>
                <w:sz w:val="24"/>
              </w:rPr>
              <w:lastRenderedPageBreak/>
              <w:t>St</w:t>
            </w:r>
            <w:r w:rsidR="0079506A" w:rsidRPr="001A14F5">
              <w:rPr>
                <w:rFonts w:ascii="Garamond" w:hAnsi="Garamond"/>
                <w:bCs/>
                <w:sz w:val="24"/>
              </w:rPr>
              <w:t>aff will hol</w:t>
            </w:r>
            <w:r w:rsidR="00B6123F" w:rsidRPr="001A14F5">
              <w:rPr>
                <w:rFonts w:ascii="Garamond" w:hAnsi="Garamond"/>
                <w:bCs/>
                <w:sz w:val="24"/>
              </w:rPr>
              <w:t xml:space="preserve">d annual webinars to discuss compliance reporting at least </w:t>
            </w:r>
            <w:r w:rsidR="00C31E53">
              <w:rPr>
                <w:rFonts w:ascii="Garamond" w:hAnsi="Garamond"/>
                <w:bCs/>
                <w:sz w:val="24"/>
              </w:rPr>
              <w:t>one</w:t>
            </w:r>
            <w:r w:rsidR="00B6123F" w:rsidRPr="001A14F5">
              <w:rPr>
                <w:rFonts w:ascii="Garamond" w:hAnsi="Garamond"/>
                <w:bCs/>
                <w:sz w:val="24"/>
              </w:rPr>
              <w:t xml:space="preserve"> month before the compliance reporting deadline. </w:t>
            </w:r>
          </w:p>
        </w:tc>
      </w:tr>
      <w:tr w:rsidR="0033699E" w:rsidRPr="001A14F5" w14:paraId="6E27FAE5" w14:textId="77777777" w:rsidTr="00D22712">
        <w:trPr>
          <w:trHeight w:val="3374"/>
        </w:trPr>
        <w:tc>
          <w:tcPr>
            <w:tcW w:w="2497" w:type="dxa"/>
            <w:tcBorders>
              <w:bottom w:val="single" w:sz="4" w:space="0" w:color="auto"/>
            </w:tcBorders>
            <w:shd w:val="clear" w:color="auto" w:fill="auto"/>
            <w:vAlign w:val="center"/>
          </w:tcPr>
          <w:p w14:paraId="4F462C60" w14:textId="212AD037" w:rsidR="00A07754" w:rsidRPr="001A14F5" w:rsidRDefault="00C60D41" w:rsidP="00C02FD5">
            <w:pPr>
              <w:spacing w:after="120"/>
              <w:jc w:val="center"/>
              <w:rPr>
                <w:rFonts w:ascii="Garamond" w:hAnsi="Garamond"/>
                <w:bCs/>
                <w:sz w:val="24"/>
              </w:rPr>
            </w:pPr>
            <w:r w:rsidRPr="001A14F5">
              <w:rPr>
                <w:rFonts w:ascii="Garamond" w:hAnsi="Garamond"/>
                <w:bCs/>
                <w:sz w:val="24"/>
              </w:rPr>
              <w:t xml:space="preserve">Compliance Report </w:t>
            </w:r>
            <w:r w:rsidR="00FA373B" w:rsidRPr="001A14F5">
              <w:rPr>
                <w:rFonts w:ascii="Garamond" w:hAnsi="Garamond"/>
                <w:bCs/>
                <w:sz w:val="24"/>
              </w:rPr>
              <w:t>T</w:t>
            </w:r>
            <w:r w:rsidRPr="001A14F5">
              <w:rPr>
                <w:rFonts w:ascii="Garamond" w:hAnsi="Garamond"/>
                <w:bCs/>
                <w:sz w:val="24"/>
              </w:rPr>
              <w:t xml:space="preserve">emplate </w:t>
            </w:r>
          </w:p>
        </w:tc>
        <w:tc>
          <w:tcPr>
            <w:tcW w:w="1338" w:type="dxa"/>
            <w:tcBorders>
              <w:bottom w:val="single" w:sz="4" w:space="0" w:color="auto"/>
            </w:tcBorders>
            <w:shd w:val="clear" w:color="auto" w:fill="auto"/>
            <w:noWrap/>
            <w:vAlign w:val="center"/>
          </w:tcPr>
          <w:p w14:paraId="52213138" w14:textId="6AE30754" w:rsidR="00A07754" w:rsidRPr="001A14F5" w:rsidRDefault="00C60D41" w:rsidP="00C02FD5">
            <w:pPr>
              <w:spacing w:after="120"/>
              <w:rPr>
                <w:rFonts w:ascii="Garamond" w:hAnsi="Garamond"/>
                <w:bCs/>
                <w:sz w:val="24"/>
              </w:rPr>
            </w:pPr>
            <w:r w:rsidRPr="001A14F5">
              <w:rPr>
                <w:rFonts w:ascii="Garamond" w:hAnsi="Garamond"/>
                <w:bCs/>
                <w:sz w:val="24"/>
              </w:rPr>
              <w:t xml:space="preserve">SF PUC </w:t>
            </w:r>
            <w:r w:rsidR="008A46FC" w:rsidRPr="001A14F5">
              <w:rPr>
                <w:rFonts w:ascii="Garamond" w:hAnsi="Garamond"/>
                <w:bCs/>
                <w:sz w:val="24"/>
              </w:rPr>
              <w:t>(CleanPowerSF)</w:t>
            </w:r>
          </w:p>
        </w:tc>
        <w:tc>
          <w:tcPr>
            <w:tcW w:w="3162" w:type="dxa"/>
            <w:tcBorders>
              <w:bottom w:val="single" w:sz="4" w:space="0" w:color="auto"/>
            </w:tcBorders>
            <w:shd w:val="clear" w:color="auto" w:fill="auto"/>
            <w:vAlign w:val="center"/>
          </w:tcPr>
          <w:p w14:paraId="229D1C53" w14:textId="28A6503A" w:rsidR="008A46FC" w:rsidRPr="00DA353D" w:rsidRDefault="008A46FC" w:rsidP="00DA353D">
            <w:pPr>
              <w:tabs>
                <w:tab w:val="clear" w:pos="360"/>
              </w:tabs>
              <w:suppressAutoHyphens w:val="0"/>
              <w:spacing w:line="259" w:lineRule="auto"/>
              <w:rPr>
                <w:rFonts w:ascii="Garamond" w:hAnsi="Garamond"/>
                <w:sz w:val="24"/>
              </w:rPr>
            </w:pPr>
            <w:r w:rsidRPr="00DA353D">
              <w:rPr>
                <w:rFonts w:ascii="Garamond" w:hAnsi="Garamond"/>
                <w:sz w:val="24"/>
              </w:rPr>
              <w:t xml:space="preserve">SF PUC (CleanPowerSF) </w:t>
            </w:r>
            <w:r w:rsidR="00920FD3" w:rsidRPr="001E26C3">
              <w:rPr>
                <w:rFonts w:ascii="Garamond" w:hAnsi="Garamond"/>
                <w:sz w:val="24"/>
              </w:rPr>
              <w:t>propose reducing</w:t>
            </w:r>
            <w:r w:rsidRPr="00DA353D">
              <w:rPr>
                <w:rFonts w:ascii="Garamond" w:hAnsi="Garamond"/>
                <w:sz w:val="24"/>
              </w:rPr>
              <w:t xml:space="preserve"> the number of sheets where data is entered in the Compliance Report due to difficulties in tracking and correcting errors</w:t>
            </w:r>
            <w:r w:rsidR="00920FD3" w:rsidRPr="001E26C3">
              <w:rPr>
                <w:rFonts w:ascii="Garamond" w:hAnsi="Garamond"/>
                <w:sz w:val="24"/>
              </w:rPr>
              <w:t xml:space="preserve">. </w:t>
            </w:r>
            <w:r w:rsidRPr="00DA353D">
              <w:rPr>
                <w:rFonts w:ascii="Garamond" w:hAnsi="Garamond"/>
                <w:sz w:val="24"/>
              </w:rPr>
              <w:t xml:space="preserve"> </w:t>
            </w:r>
          </w:p>
          <w:p w14:paraId="5E6A2315" w14:textId="4C77C4C3" w:rsidR="00A07754" w:rsidRPr="001A14F5" w:rsidRDefault="00A07754">
            <w:pPr>
              <w:spacing w:after="120"/>
              <w:rPr>
                <w:rFonts w:ascii="Garamond" w:hAnsi="Garamond"/>
                <w:bCs/>
                <w:sz w:val="24"/>
              </w:rPr>
            </w:pPr>
          </w:p>
        </w:tc>
        <w:tc>
          <w:tcPr>
            <w:tcW w:w="4163" w:type="dxa"/>
            <w:tcBorders>
              <w:bottom w:val="single" w:sz="4" w:space="0" w:color="auto"/>
            </w:tcBorders>
            <w:shd w:val="clear" w:color="auto" w:fill="auto"/>
            <w:vAlign w:val="center"/>
            <w:hideMark/>
          </w:tcPr>
          <w:p w14:paraId="28D0D27E" w14:textId="62FE4003" w:rsidR="00A07754" w:rsidRPr="001A14F5" w:rsidRDefault="00DA353D" w:rsidP="00C02FD5">
            <w:pPr>
              <w:spacing w:after="120"/>
              <w:rPr>
                <w:rFonts w:ascii="Garamond" w:hAnsi="Garamond"/>
                <w:bCs/>
                <w:sz w:val="24"/>
              </w:rPr>
            </w:pPr>
            <w:r>
              <w:rPr>
                <w:rFonts w:ascii="Garamond" w:hAnsi="Garamond"/>
                <w:bCs/>
                <w:sz w:val="24"/>
              </w:rPr>
              <w:t>S</w:t>
            </w:r>
            <w:r w:rsidR="00144421" w:rsidRPr="001A14F5">
              <w:rPr>
                <w:rFonts w:ascii="Garamond" w:hAnsi="Garamond"/>
                <w:bCs/>
                <w:sz w:val="24"/>
              </w:rPr>
              <w:t xml:space="preserve">taff has limited the </w:t>
            </w:r>
            <w:r w:rsidR="000205A9" w:rsidRPr="001A14F5">
              <w:rPr>
                <w:rFonts w:ascii="Garamond" w:hAnsi="Garamond"/>
                <w:bCs/>
                <w:sz w:val="24"/>
              </w:rPr>
              <w:t xml:space="preserve">sheets where data must be input in the Compliance Report to three tabs (e.g. Unique Inputs, Contract Details, REC Retirements). </w:t>
            </w:r>
            <w:r w:rsidR="002D7A36" w:rsidRPr="001A14F5">
              <w:rPr>
                <w:rFonts w:ascii="Garamond" w:hAnsi="Garamond"/>
                <w:bCs/>
                <w:sz w:val="24"/>
              </w:rPr>
              <w:t xml:space="preserve">Staff has also included a Data Entry Guide for retail sellers to use when populating the Report. </w:t>
            </w:r>
          </w:p>
        </w:tc>
      </w:tr>
      <w:tr w:rsidR="0033699E" w:rsidRPr="001A14F5" w14:paraId="7C6B63EE" w14:textId="77777777" w:rsidTr="00D22712">
        <w:trPr>
          <w:trHeight w:val="2700"/>
        </w:trPr>
        <w:tc>
          <w:tcPr>
            <w:tcW w:w="2497" w:type="dxa"/>
            <w:tcBorders>
              <w:bottom w:val="single" w:sz="4" w:space="0" w:color="auto"/>
            </w:tcBorders>
            <w:shd w:val="clear" w:color="auto" w:fill="auto"/>
            <w:vAlign w:val="center"/>
          </w:tcPr>
          <w:p w14:paraId="0ED11C34" w14:textId="1FBE44D0" w:rsidR="00A07754" w:rsidRPr="001A14F5" w:rsidRDefault="00FA373B" w:rsidP="00C02FD5">
            <w:pPr>
              <w:spacing w:after="120"/>
              <w:jc w:val="center"/>
              <w:rPr>
                <w:rFonts w:ascii="Garamond" w:hAnsi="Garamond"/>
                <w:bCs/>
                <w:sz w:val="24"/>
              </w:rPr>
            </w:pPr>
            <w:r w:rsidRPr="001A14F5">
              <w:rPr>
                <w:rFonts w:ascii="Garamond" w:hAnsi="Garamond"/>
                <w:bCs/>
                <w:sz w:val="24"/>
              </w:rPr>
              <w:t>Compliance Reporting: General</w:t>
            </w:r>
          </w:p>
        </w:tc>
        <w:tc>
          <w:tcPr>
            <w:tcW w:w="1338" w:type="dxa"/>
            <w:tcBorders>
              <w:bottom w:val="single" w:sz="4" w:space="0" w:color="auto"/>
            </w:tcBorders>
            <w:shd w:val="clear" w:color="auto" w:fill="auto"/>
            <w:noWrap/>
            <w:vAlign w:val="center"/>
          </w:tcPr>
          <w:p w14:paraId="0733B7DB" w14:textId="5E60E66C" w:rsidR="00A07754" w:rsidRPr="001A14F5" w:rsidRDefault="00DB4934" w:rsidP="00C02FD5">
            <w:pPr>
              <w:spacing w:after="120"/>
              <w:rPr>
                <w:rFonts w:ascii="Garamond" w:hAnsi="Garamond"/>
                <w:bCs/>
                <w:sz w:val="24"/>
              </w:rPr>
            </w:pPr>
            <w:r w:rsidRPr="001A14F5">
              <w:rPr>
                <w:rFonts w:ascii="Garamond" w:hAnsi="Garamond"/>
                <w:bCs/>
                <w:sz w:val="24"/>
              </w:rPr>
              <w:t>Shell, AReM/UC Regents</w:t>
            </w:r>
            <w:r w:rsidR="0033699E" w:rsidRPr="001A14F5">
              <w:rPr>
                <w:rFonts w:ascii="Garamond" w:hAnsi="Garamond"/>
                <w:bCs/>
                <w:sz w:val="24"/>
              </w:rPr>
              <w:t xml:space="preserve">, </w:t>
            </w:r>
            <w:r w:rsidRPr="001A14F5">
              <w:rPr>
                <w:rFonts w:ascii="Garamond" w:hAnsi="Garamond"/>
                <w:bCs/>
                <w:sz w:val="24"/>
              </w:rPr>
              <w:t>CASMU</w:t>
            </w:r>
          </w:p>
        </w:tc>
        <w:tc>
          <w:tcPr>
            <w:tcW w:w="3162" w:type="dxa"/>
            <w:tcBorders>
              <w:bottom w:val="single" w:sz="4" w:space="0" w:color="auto"/>
            </w:tcBorders>
            <w:shd w:val="clear" w:color="auto" w:fill="auto"/>
            <w:vAlign w:val="center"/>
          </w:tcPr>
          <w:p w14:paraId="6621128A" w14:textId="767CD9B7" w:rsidR="00A07754" w:rsidRPr="001A14F5" w:rsidRDefault="00DB4934">
            <w:pPr>
              <w:spacing w:after="120"/>
              <w:rPr>
                <w:rFonts w:ascii="Garamond" w:hAnsi="Garamond"/>
                <w:bCs/>
                <w:sz w:val="24"/>
              </w:rPr>
            </w:pPr>
            <w:r w:rsidRPr="00DA353D">
              <w:rPr>
                <w:rFonts w:ascii="Garamond" w:hAnsi="Garamond"/>
                <w:sz w:val="24"/>
              </w:rPr>
              <w:t xml:space="preserve">Shell, AReM/UC Regents and CASMU propose eliminating paper submissions of the </w:t>
            </w:r>
            <w:r w:rsidR="00B24488" w:rsidRPr="001A14F5">
              <w:rPr>
                <w:rFonts w:ascii="Garamond" w:hAnsi="Garamond"/>
                <w:sz w:val="24"/>
              </w:rPr>
              <w:t xml:space="preserve">annual </w:t>
            </w:r>
            <w:r w:rsidRPr="00DA353D">
              <w:rPr>
                <w:rFonts w:ascii="Garamond" w:hAnsi="Garamond"/>
                <w:sz w:val="24"/>
              </w:rPr>
              <w:t>Compliance Report</w:t>
            </w:r>
            <w:r w:rsidR="00B24488" w:rsidRPr="001A14F5">
              <w:rPr>
                <w:rFonts w:ascii="Garamond" w:hAnsi="Garamond"/>
                <w:sz w:val="24"/>
              </w:rPr>
              <w:t>s (and supporting documents) due to the administrative burden</w:t>
            </w:r>
            <w:r w:rsidRPr="00DA353D">
              <w:rPr>
                <w:rFonts w:ascii="Garamond" w:hAnsi="Garamond"/>
                <w:sz w:val="24"/>
              </w:rPr>
              <w:t xml:space="preserve">. </w:t>
            </w:r>
          </w:p>
        </w:tc>
        <w:tc>
          <w:tcPr>
            <w:tcW w:w="4163" w:type="dxa"/>
            <w:tcBorders>
              <w:bottom w:val="single" w:sz="4" w:space="0" w:color="auto"/>
            </w:tcBorders>
            <w:shd w:val="clear" w:color="auto" w:fill="auto"/>
            <w:vAlign w:val="center"/>
          </w:tcPr>
          <w:p w14:paraId="1DD12B00" w14:textId="6E9BA561" w:rsidR="00A07754" w:rsidRPr="001E26C3" w:rsidRDefault="00DA353D" w:rsidP="00DA353D">
            <w:pPr>
              <w:tabs>
                <w:tab w:val="clear" w:pos="360"/>
              </w:tabs>
              <w:suppressAutoHyphens w:val="0"/>
              <w:spacing w:line="259" w:lineRule="auto"/>
              <w:rPr>
                <w:rFonts w:ascii="Garamond" w:hAnsi="Garamond"/>
                <w:sz w:val="24"/>
              </w:rPr>
            </w:pPr>
            <w:r>
              <w:rPr>
                <w:rFonts w:ascii="Garamond" w:hAnsi="Garamond"/>
                <w:sz w:val="24"/>
              </w:rPr>
              <w:t>S</w:t>
            </w:r>
            <w:r w:rsidR="006C0E40" w:rsidRPr="00DA353D">
              <w:rPr>
                <w:rFonts w:ascii="Garamond" w:hAnsi="Garamond"/>
                <w:sz w:val="24"/>
              </w:rPr>
              <w:t>taff will eliminate the requirement for</w:t>
            </w:r>
            <w:r w:rsidR="00B24488" w:rsidRPr="001E26C3">
              <w:rPr>
                <w:rFonts w:ascii="Garamond" w:hAnsi="Garamond"/>
                <w:sz w:val="24"/>
              </w:rPr>
              <w:t xml:space="preserve"> </w:t>
            </w:r>
            <w:r w:rsidR="006C0E40" w:rsidRPr="00DA353D">
              <w:rPr>
                <w:rFonts w:ascii="Garamond" w:hAnsi="Garamond"/>
                <w:sz w:val="24"/>
              </w:rPr>
              <w:t>paper submissions</w:t>
            </w:r>
            <w:r w:rsidR="00B24488" w:rsidRPr="001E26C3">
              <w:rPr>
                <w:rFonts w:ascii="Garamond" w:hAnsi="Garamond"/>
                <w:sz w:val="24"/>
              </w:rPr>
              <w:t xml:space="preserve"> of the annual Compliance Report and will only require electronic submissions. </w:t>
            </w:r>
          </w:p>
        </w:tc>
      </w:tr>
      <w:tr w:rsidR="0033699E" w:rsidRPr="001A14F5" w14:paraId="4E941D5A" w14:textId="77777777" w:rsidTr="00D22712">
        <w:trPr>
          <w:trHeight w:val="1412"/>
        </w:trPr>
        <w:tc>
          <w:tcPr>
            <w:tcW w:w="2497" w:type="dxa"/>
            <w:tcBorders>
              <w:bottom w:val="single" w:sz="4" w:space="0" w:color="auto"/>
            </w:tcBorders>
            <w:shd w:val="clear" w:color="auto" w:fill="auto"/>
            <w:vAlign w:val="center"/>
          </w:tcPr>
          <w:p w14:paraId="3EE5A5DC" w14:textId="4513A935" w:rsidR="00A07754" w:rsidRPr="001A14F5" w:rsidRDefault="005659FD" w:rsidP="00C02FD5">
            <w:pPr>
              <w:spacing w:after="120"/>
              <w:jc w:val="center"/>
              <w:rPr>
                <w:rFonts w:ascii="Garamond" w:hAnsi="Garamond"/>
                <w:bCs/>
                <w:sz w:val="24"/>
              </w:rPr>
            </w:pPr>
            <w:r w:rsidRPr="001A14F5">
              <w:rPr>
                <w:rFonts w:ascii="Garamond" w:hAnsi="Garamond"/>
                <w:bCs/>
                <w:sz w:val="24"/>
              </w:rPr>
              <w:t>Compliance Report Template</w:t>
            </w:r>
          </w:p>
        </w:tc>
        <w:tc>
          <w:tcPr>
            <w:tcW w:w="1338" w:type="dxa"/>
            <w:tcBorders>
              <w:bottom w:val="single" w:sz="4" w:space="0" w:color="auto"/>
            </w:tcBorders>
            <w:shd w:val="clear" w:color="auto" w:fill="auto"/>
            <w:noWrap/>
            <w:vAlign w:val="center"/>
          </w:tcPr>
          <w:p w14:paraId="0B18C144" w14:textId="33C4E918" w:rsidR="00A07754" w:rsidRPr="001A14F5" w:rsidRDefault="005659FD" w:rsidP="00C02FD5">
            <w:pPr>
              <w:spacing w:after="120"/>
              <w:rPr>
                <w:rFonts w:ascii="Garamond" w:hAnsi="Garamond"/>
                <w:bCs/>
                <w:sz w:val="24"/>
              </w:rPr>
            </w:pPr>
            <w:r w:rsidRPr="001A14F5">
              <w:rPr>
                <w:rFonts w:ascii="Garamond" w:hAnsi="Garamond"/>
                <w:bCs/>
                <w:sz w:val="24"/>
              </w:rPr>
              <w:t>Shell, CASMU, AReM/UC Regents, Joint CCAs, Joint IO</w:t>
            </w:r>
            <w:r w:rsidR="0033699E" w:rsidRPr="001A14F5">
              <w:rPr>
                <w:rFonts w:ascii="Garamond" w:hAnsi="Garamond"/>
                <w:bCs/>
                <w:sz w:val="24"/>
              </w:rPr>
              <w:t>Us</w:t>
            </w:r>
          </w:p>
        </w:tc>
        <w:tc>
          <w:tcPr>
            <w:tcW w:w="3162" w:type="dxa"/>
            <w:tcBorders>
              <w:bottom w:val="single" w:sz="4" w:space="0" w:color="auto"/>
            </w:tcBorders>
            <w:shd w:val="clear" w:color="auto" w:fill="auto"/>
            <w:vAlign w:val="center"/>
          </w:tcPr>
          <w:p w14:paraId="4FBB0719" w14:textId="7F102BE8" w:rsidR="00A07754" w:rsidRPr="001E26C3" w:rsidRDefault="0059459E" w:rsidP="00DA353D">
            <w:pPr>
              <w:tabs>
                <w:tab w:val="clear" w:pos="360"/>
              </w:tabs>
              <w:suppressAutoHyphens w:val="0"/>
              <w:spacing w:line="259" w:lineRule="auto"/>
              <w:rPr>
                <w:rFonts w:ascii="Garamond" w:hAnsi="Garamond"/>
                <w:sz w:val="24"/>
              </w:rPr>
            </w:pPr>
            <w:r w:rsidRPr="00DA353D">
              <w:rPr>
                <w:rFonts w:ascii="Garamond" w:hAnsi="Garamond"/>
                <w:sz w:val="24"/>
              </w:rPr>
              <w:t>Shell and CASMU assert that the Static Contract Information Report</w:t>
            </w:r>
            <w:r w:rsidR="00C27A12" w:rsidRPr="00DA353D">
              <w:rPr>
                <w:rFonts w:ascii="Garamond" w:hAnsi="Garamond"/>
                <w:sz w:val="24"/>
              </w:rPr>
              <w:t xml:space="preserve"> (SCI)</w:t>
            </w:r>
            <w:r w:rsidRPr="00DA353D">
              <w:rPr>
                <w:rFonts w:ascii="Garamond" w:hAnsi="Garamond"/>
                <w:sz w:val="24"/>
              </w:rPr>
              <w:t xml:space="preserve"> is duplicative of the Contract Details </w:t>
            </w:r>
            <w:r w:rsidR="00C27A12" w:rsidRPr="00DA353D">
              <w:rPr>
                <w:rFonts w:ascii="Garamond" w:hAnsi="Garamond"/>
                <w:sz w:val="24"/>
              </w:rPr>
              <w:t xml:space="preserve">(CD) </w:t>
            </w:r>
            <w:r w:rsidRPr="00DA353D">
              <w:rPr>
                <w:rFonts w:ascii="Garamond" w:hAnsi="Garamond"/>
                <w:sz w:val="24"/>
              </w:rPr>
              <w:t xml:space="preserve">tab and propose eliminating the </w:t>
            </w:r>
            <w:r w:rsidR="00C27A12" w:rsidRPr="00DA353D">
              <w:rPr>
                <w:rFonts w:ascii="Garamond" w:hAnsi="Garamond"/>
                <w:sz w:val="24"/>
              </w:rPr>
              <w:t>SCI</w:t>
            </w:r>
            <w:r w:rsidR="0033699E" w:rsidRPr="00DA353D">
              <w:rPr>
                <w:rFonts w:ascii="Garamond" w:hAnsi="Garamond"/>
                <w:sz w:val="24"/>
              </w:rPr>
              <w:t xml:space="preserve">. </w:t>
            </w:r>
            <w:r w:rsidRPr="00DA353D">
              <w:rPr>
                <w:rFonts w:ascii="Garamond" w:hAnsi="Garamond"/>
                <w:sz w:val="24"/>
              </w:rPr>
              <w:t>AReM</w:t>
            </w:r>
            <w:r w:rsidR="0033699E" w:rsidRPr="00DA353D">
              <w:rPr>
                <w:rFonts w:ascii="Garamond" w:hAnsi="Garamond"/>
                <w:sz w:val="24"/>
              </w:rPr>
              <w:t>/</w:t>
            </w:r>
            <w:r w:rsidRPr="00DA353D">
              <w:rPr>
                <w:rFonts w:ascii="Garamond" w:hAnsi="Garamond"/>
                <w:sz w:val="24"/>
              </w:rPr>
              <w:t xml:space="preserve">UC Regents suggest modifying the columns in the </w:t>
            </w:r>
            <w:r w:rsidR="00C27A12" w:rsidRPr="00DA353D">
              <w:rPr>
                <w:rFonts w:ascii="Garamond" w:hAnsi="Garamond"/>
                <w:sz w:val="24"/>
              </w:rPr>
              <w:t>CD</w:t>
            </w:r>
            <w:r w:rsidRPr="00DA353D">
              <w:rPr>
                <w:rFonts w:ascii="Garamond" w:hAnsi="Garamond"/>
                <w:sz w:val="24"/>
              </w:rPr>
              <w:t xml:space="preserve"> tab to get more information from what is reported within the </w:t>
            </w:r>
            <w:r w:rsidR="00C27A12" w:rsidRPr="00DA353D">
              <w:rPr>
                <w:rFonts w:ascii="Garamond" w:hAnsi="Garamond"/>
                <w:sz w:val="24"/>
              </w:rPr>
              <w:t>SCI</w:t>
            </w:r>
            <w:r w:rsidR="0033699E" w:rsidRPr="00DA353D">
              <w:rPr>
                <w:rFonts w:ascii="Garamond" w:hAnsi="Garamond"/>
                <w:sz w:val="24"/>
              </w:rPr>
              <w:t xml:space="preserve">. Joint IOUs and Joint CCAs support this proposal. </w:t>
            </w:r>
          </w:p>
        </w:tc>
        <w:tc>
          <w:tcPr>
            <w:tcW w:w="4163" w:type="dxa"/>
            <w:tcBorders>
              <w:bottom w:val="single" w:sz="4" w:space="0" w:color="auto"/>
            </w:tcBorders>
            <w:shd w:val="clear" w:color="auto" w:fill="auto"/>
            <w:vAlign w:val="center"/>
          </w:tcPr>
          <w:p w14:paraId="550C292A" w14:textId="3B7E368C" w:rsidR="00A07754" w:rsidRPr="001A14F5" w:rsidRDefault="008068E8" w:rsidP="008068E8">
            <w:pPr>
              <w:spacing w:after="120"/>
              <w:rPr>
                <w:rFonts w:ascii="Garamond" w:hAnsi="Garamond"/>
                <w:bCs/>
                <w:sz w:val="24"/>
              </w:rPr>
            </w:pPr>
            <w:r w:rsidRPr="001A14F5">
              <w:rPr>
                <w:rFonts w:ascii="Garamond" w:hAnsi="Garamond"/>
                <w:bCs/>
                <w:sz w:val="24"/>
              </w:rPr>
              <w:t xml:space="preserve">Staff has </w:t>
            </w:r>
            <w:r w:rsidR="004D0F3E" w:rsidRPr="001A14F5">
              <w:rPr>
                <w:rFonts w:ascii="Garamond" w:hAnsi="Garamond"/>
                <w:bCs/>
                <w:sz w:val="24"/>
              </w:rPr>
              <w:t>adde</w:t>
            </w:r>
            <w:r w:rsidRPr="001A14F5">
              <w:rPr>
                <w:rFonts w:ascii="Garamond" w:hAnsi="Garamond"/>
                <w:bCs/>
                <w:sz w:val="24"/>
              </w:rPr>
              <w:t>d</w:t>
            </w:r>
            <w:r w:rsidR="004D0F3E" w:rsidRPr="001A14F5">
              <w:rPr>
                <w:rFonts w:ascii="Garamond" w:hAnsi="Garamond"/>
                <w:bCs/>
                <w:sz w:val="24"/>
              </w:rPr>
              <w:t xml:space="preserve"> several </w:t>
            </w:r>
            <w:r w:rsidRPr="001A14F5">
              <w:rPr>
                <w:rFonts w:ascii="Garamond" w:hAnsi="Garamond"/>
                <w:bCs/>
                <w:sz w:val="24"/>
              </w:rPr>
              <w:t xml:space="preserve">columns </w:t>
            </w:r>
            <w:r w:rsidR="004D0F3E" w:rsidRPr="001A14F5">
              <w:rPr>
                <w:rFonts w:ascii="Garamond" w:hAnsi="Garamond"/>
                <w:bCs/>
                <w:sz w:val="24"/>
              </w:rPr>
              <w:t xml:space="preserve">from the SCI to </w:t>
            </w:r>
            <w:r w:rsidRPr="001A14F5">
              <w:rPr>
                <w:rFonts w:ascii="Garamond" w:hAnsi="Garamond"/>
                <w:bCs/>
                <w:sz w:val="24"/>
              </w:rPr>
              <w:t xml:space="preserve">the CD tab to get more contract-specific information </w:t>
            </w:r>
            <w:r w:rsidR="004D0F3E" w:rsidRPr="001A14F5">
              <w:rPr>
                <w:rFonts w:ascii="Garamond" w:hAnsi="Garamond"/>
                <w:bCs/>
                <w:sz w:val="24"/>
              </w:rPr>
              <w:t>for</w:t>
            </w:r>
            <w:r w:rsidRPr="001A14F5">
              <w:rPr>
                <w:rFonts w:ascii="Garamond" w:hAnsi="Garamond"/>
                <w:bCs/>
                <w:sz w:val="24"/>
              </w:rPr>
              <w:t xml:space="preserve"> PCC review</w:t>
            </w:r>
            <w:r w:rsidR="004D0F3E" w:rsidRPr="001A14F5">
              <w:rPr>
                <w:rFonts w:ascii="Garamond" w:hAnsi="Garamond"/>
                <w:bCs/>
                <w:sz w:val="24"/>
              </w:rPr>
              <w:t xml:space="preserve"> and will no</w:t>
            </w:r>
            <w:r w:rsidR="00EB2F94" w:rsidRPr="001A14F5">
              <w:rPr>
                <w:rFonts w:ascii="Garamond" w:hAnsi="Garamond"/>
                <w:bCs/>
                <w:sz w:val="24"/>
              </w:rPr>
              <w:t xml:space="preserve"> longer</w:t>
            </w:r>
            <w:r w:rsidR="004D0F3E" w:rsidRPr="001A14F5">
              <w:rPr>
                <w:rFonts w:ascii="Garamond" w:hAnsi="Garamond"/>
                <w:bCs/>
                <w:sz w:val="24"/>
              </w:rPr>
              <w:t xml:space="preserve"> require a SCI</w:t>
            </w:r>
            <w:r w:rsidR="00EB2F94" w:rsidRPr="001A14F5">
              <w:rPr>
                <w:rFonts w:ascii="Garamond" w:hAnsi="Garamond"/>
                <w:bCs/>
                <w:sz w:val="24"/>
              </w:rPr>
              <w:t xml:space="preserve">. </w:t>
            </w:r>
          </w:p>
        </w:tc>
      </w:tr>
      <w:tr w:rsidR="0033699E" w:rsidRPr="001A14F5" w14:paraId="387AD51B" w14:textId="77777777" w:rsidTr="00D22712">
        <w:trPr>
          <w:trHeight w:val="1970"/>
        </w:trPr>
        <w:tc>
          <w:tcPr>
            <w:tcW w:w="2497" w:type="dxa"/>
            <w:tcBorders>
              <w:bottom w:val="single" w:sz="4" w:space="0" w:color="auto"/>
            </w:tcBorders>
            <w:shd w:val="clear" w:color="auto" w:fill="auto"/>
            <w:vAlign w:val="center"/>
          </w:tcPr>
          <w:p w14:paraId="2336F185" w14:textId="7656C9BD" w:rsidR="00A07754" w:rsidRPr="001A14F5" w:rsidRDefault="00ED4FB9" w:rsidP="00C02FD5">
            <w:pPr>
              <w:spacing w:after="120"/>
              <w:jc w:val="center"/>
              <w:rPr>
                <w:rFonts w:ascii="Garamond" w:hAnsi="Garamond"/>
                <w:bCs/>
                <w:sz w:val="24"/>
              </w:rPr>
            </w:pPr>
            <w:r w:rsidRPr="001A14F5">
              <w:rPr>
                <w:rFonts w:ascii="Garamond" w:hAnsi="Garamond"/>
                <w:bCs/>
                <w:sz w:val="24"/>
              </w:rPr>
              <w:lastRenderedPageBreak/>
              <w:t>Compliance Report</w:t>
            </w:r>
            <w:r w:rsidR="00F62E1D" w:rsidRPr="001A14F5">
              <w:rPr>
                <w:rFonts w:ascii="Garamond" w:hAnsi="Garamond"/>
                <w:bCs/>
                <w:sz w:val="24"/>
              </w:rPr>
              <w:t xml:space="preserve"> Template</w:t>
            </w:r>
          </w:p>
        </w:tc>
        <w:tc>
          <w:tcPr>
            <w:tcW w:w="1338" w:type="dxa"/>
            <w:tcBorders>
              <w:bottom w:val="single" w:sz="4" w:space="0" w:color="auto"/>
            </w:tcBorders>
            <w:shd w:val="clear" w:color="auto" w:fill="auto"/>
            <w:noWrap/>
            <w:vAlign w:val="center"/>
          </w:tcPr>
          <w:p w14:paraId="0DDC3D68" w14:textId="4F391E50" w:rsidR="00A07754" w:rsidRPr="001A14F5" w:rsidRDefault="00EA6DA8" w:rsidP="00C02FD5">
            <w:pPr>
              <w:spacing w:after="120"/>
              <w:rPr>
                <w:rFonts w:ascii="Garamond" w:hAnsi="Garamond"/>
                <w:bCs/>
                <w:sz w:val="24"/>
              </w:rPr>
            </w:pPr>
            <w:r w:rsidRPr="001A14F5">
              <w:rPr>
                <w:rFonts w:ascii="Garamond" w:hAnsi="Garamond"/>
                <w:bCs/>
                <w:sz w:val="24"/>
              </w:rPr>
              <w:t>AReM/UC Regents, CASMU</w:t>
            </w:r>
          </w:p>
        </w:tc>
        <w:tc>
          <w:tcPr>
            <w:tcW w:w="3162" w:type="dxa"/>
            <w:tcBorders>
              <w:bottom w:val="single" w:sz="4" w:space="0" w:color="auto"/>
            </w:tcBorders>
            <w:shd w:val="clear" w:color="auto" w:fill="auto"/>
            <w:vAlign w:val="center"/>
          </w:tcPr>
          <w:p w14:paraId="552C7A33" w14:textId="50FF2C85" w:rsidR="00A07754" w:rsidRPr="001A14F5" w:rsidRDefault="001D7AE0" w:rsidP="00C02FD5">
            <w:pPr>
              <w:spacing w:after="120"/>
              <w:rPr>
                <w:rFonts w:ascii="Garamond" w:hAnsi="Garamond"/>
                <w:bCs/>
                <w:sz w:val="24"/>
              </w:rPr>
            </w:pPr>
            <w:r w:rsidRPr="00DA353D">
              <w:rPr>
                <w:rFonts w:ascii="Garamond" w:hAnsi="Garamond"/>
                <w:sz w:val="24"/>
              </w:rPr>
              <w:t xml:space="preserve">AReM/UC Regents and CASMU </w:t>
            </w:r>
            <w:r w:rsidR="001320C9" w:rsidRPr="001A14F5">
              <w:rPr>
                <w:rFonts w:ascii="Garamond" w:hAnsi="Garamond"/>
                <w:sz w:val="24"/>
              </w:rPr>
              <w:t>propose</w:t>
            </w:r>
            <w:r w:rsidRPr="00DA353D">
              <w:rPr>
                <w:rFonts w:ascii="Garamond" w:hAnsi="Garamond"/>
                <w:sz w:val="24"/>
              </w:rPr>
              <w:t xml:space="preserve"> eliminating the Narrative Report because</w:t>
            </w:r>
            <w:r w:rsidR="00993F48" w:rsidRPr="00DA353D">
              <w:rPr>
                <w:rFonts w:ascii="Garamond" w:hAnsi="Garamond"/>
                <w:sz w:val="24"/>
              </w:rPr>
              <w:t xml:space="preserve"> all of</w:t>
            </w:r>
            <w:r w:rsidRPr="00DA353D">
              <w:rPr>
                <w:rFonts w:ascii="Garamond" w:hAnsi="Garamond"/>
                <w:sz w:val="24"/>
              </w:rPr>
              <w:t xml:space="preserve"> the information</w:t>
            </w:r>
            <w:r w:rsidR="00993F48" w:rsidRPr="00DA353D">
              <w:rPr>
                <w:rFonts w:ascii="Garamond" w:hAnsi="Garamond"/>
                <w:sz w:val="24"/>
              </w:rPr>
              <w:t xml:space="preserve"> </w:t>
            </w:r>
            <w:r w:rsidR="001320C9" w:rsidRPr="001A14F5">
              <w:rPr>
                <w:rFonts w:ascii="Garamond" w:hAnsi="Garamond"/>
                <w:sz w:val="24"/>
              </w:rPr>
              <w:t>required</w:t>
            </w:r>
            <w:r w:rsidRPr="00DA353D">
              <w:rPr>
                <w:rFonts w:ascii="Garamond" w:hAnsi="Garamond"/>
                <w:sz w:val="24"/>
              </w:rPr>
              <w:t xml:space="preserve"> can be found in the Contract Details tab</w:t>
            </w:r>
            <w:r w:rsidR="00993F48" w:rsidRPr="00DA353D">
              <w:rPr>
                <w:rFonts w:ascii="Garamond" w:hAnsi="Garamond"/>
                <w:sz w:val="24"/>
              </w:rPr>
              <w:t xml:space="preserve">. </w:t>
            </w:r>
          </w:p>
        </w:tc>
        <w:tc>
          <w:tcPr>
            <w:tcW w:w="4163" w:type="dxa"/>
            <w:tcBorders>
              <w:bottom w:val="single" w:sz="4" w:space="0" w:color="auto"/>
            </w:tcBorders>
            <w:shd w:val="clear" w:color="auto" w:fill="auto"/>
            <w:vAlign w:val="center"/>
          </w:tcPr>
          <w:p w14:paraId="5E99530C" w14:textId="11B9DE82" w:rsidR="00511E85" w:rsidRPr="001A14F5" w:rsidRDefault="00765EF2" w:rsidP="00511E85">
            <w:pPr>
              <w:spacing w:after="120"/>
              <w:rPr>
                <w:rFonts w:ascii="Garamond" w:hAnsi="Garamond"/>
                <w:bCs/>
                <w:sz w:val="24"/>
              </w:rPr>
            </w:pPr>
            <w:r>
              <w:rPr>
                <w:rFonts w:ascii="Garamond" w:hAnsi="Garamond"/>
                <w:bCs/>
                <w:sz w:val="24"/>
              </w:rPr>
              <w:t xml:space="preserve">No change. </w:t>
            </w:r>
            <w:r w:rsidR="00511E85" w:rsidRPr="001A14F5">
              <w:rPr>
                <w:rFonts w:ascii="Garamond" w:hAnsi="Garamond"/>
                <w:bCs/>
                <w:sz w:val="24"/>
              </w:rPr>
              <w:t>PU</w:t>
            </w:r>
            <w:r w:rsidR="00875890" w:rsidRPr="001A14F5">
              <w:rPr>
                <w:rFonts w:ascii="Garamond" w:hAnsi="Garamond"/>
                <w:bCs/>
                <w:sz w:val="24"/>
              </w:rPr>
              <w:t xml:space="preserve"> </w:t>
            </w:r>
            <w:r w:rsidR="00511E85" w:rsidRPr="001A14F5">
              <w:rPr>
                <w:rFonts w:ascii="Garamond" w:hAnsi="Garamond"/>
                <w:bCs/>
                <w:sz w:val="24"/>
              </w:rPr>
              <w:t>C</w:t>
            </w:r>
            <w:r w:rsidR="00875890" w:rsidRPr="001A14F5">
              <w:rPr>
                <w:rFonts w:ascii="Garamond" w:hAnsi="Garamond"/>
                <w:bCs/>
                <w:sz w:val="24"/>
              </w:rPr>
              <w:t>ode</w:t>
            </w:r>
            <w:r w:rsidR="00511E85" w:rsidRPr="001A14F5">
              <w:rPr>
                <w:rFonts w:ascii="Garamond" w:hAnsi="Garamond"/>
                <w:bCs/>
                <w:sz w:val="24"/>
              </w:rPr>
              <w:t xml:space="preserve"> 399.13(a)(3) requires LSEs to include with their </w:t>
            </w:r>
            <w:r w:rsidR="00875890" w:rsidRPr="001A14F5">
              <w:rPr>
                <w:rFonts w:ascii="Garamond" w:hAnsi="Garamond"/>
                <w:bCs/>
                <w:sz w:val="24"/>
              </w:rPr>
              <w:t>C</w:t>
            </w:r>
            <w:r w:rsidR="00511E85" w:rsidRPr="001A14F5">
              <w:rPr>
                <w:rFonts w:ascii="Garamond" w:hAnsi="Garamond"/>
                <w:bCs/>
                <w:sz w:val="24"/>
              </w:rPr>
              <w:t xml:space="preserve">ompliance </w:t>
            </w:r>
            <w:r w:rsidR="00875890" w:rsidRPr="001A14F5">
              <w:rPr>
                <w:rFonts w:ascii="Garamond" w:hAnsi="Garamond"/>
                <w:bCs/>
                <w:sz w:val="24"/>
              </w:rPr>
              <w:t>R</w:t>
            </w:r>
            <w:r w:rsidR="00511E85" w:rsidRPr="001A14F5">
              <w:rPr>
                <w:rFonts w:ascii="Garamond" w:hAnsi="Garamond"/>
                <w:bCs/>
                <w:sz w:val="24"/>
              </w:rPr>
              <w:t xml:space="preserve">eports: </w:t>
            </w:r>
          </w:p>
          <w:p w14:paraId="3B13CE66" w14:textId="535CB817" w:rsidR="00511E85" w:rsidRPr="001A14F5" w:rsidRDefault="00511E85" w:rsidP="00511E85">
            <w:pPr>
              <w:spacing w:after="120"/>
              <w:rPr>
                <w:rFonts w:ascii="Garamond" w:hAnsi="Garamond"/>
                <w:bCs/>
                <w:sz w:val="24"/>
              </w:rPr>
            </w:pPr>
            <w:r w:rsidRPr="001A14F5">
              <w:rPr>
                <w:rFonts w:ascii="Garamond" w:hAnsi="Garamond"/>
                <w:bCs/>
                <w:sz w:val="24"/>
              </w:rPr>
              <w:t xml:space="preserve">1. Current status and progress toward RPS procurement requirements,  including, if applicable, the status of any necessary siting and permitting approvals from </w:t>
            </w:r>
            <w:r w:rsidR="00A51DDE" w:rsidRPr="001A14F5">
              <w:rPr>
                <w:rFonts w:ascii="Garamond" w:hAnsi="Garamond"/>
                <w:bCs/>
                <w:sz w:val="24"/>
              </w:rPr>
              <w:t>renewables</w:t>
            </w:r>
            <w:r w:rsidRPr="001A14F5">
              <w:rPr>
                <w:rFonts w:ascii="Garamond" w:hAnsi="Garamond"/>
                <w:bCs/>
                <w:sz w:val="24"/>
              </w:rPr>
              <w:t xml:space="preserve"> procured by the retail seller, and the current status of compliance with the portfolio content requirements of subdivision (c) of Section 399.16, including procurement of eligible renewable energy resources located outside the state and within the WECC and unbundled </w:t>
            </w:r>
            <w:r w:rsidR="00875890" w:rsidRPr="001A14F5">
              <w:rPr>
                <w:rFonts w:ascii="Garamond" w:hAnsi="Garamond"/>
                <w:bCs/>
                <w:sz w:val="24"/>
              </w:rPr>
              <w:t xml:space="preserve">RECs. </w:t>
            </w:r>
            <w:r w:rsidRPr="001A14F5">
              <w:rPr>
                <w:rFonts w:ascii="Garamond" w:hAnsi="Garamond"/>
                <w:bCs/>
                <w:sz w:val="24"/>
              </w:rPr>
              <w:t xml:space="preserve"> </w:t>
            </w:r>
          </w:p>
          <w:p w14:paraId="5352EF2B" w14:textId="34BB987C" w:rsidR="00511E85" w:rsidRPr="001A14F5" w:rsidRDefault="00F87DAE" w:rsidP="00511E85">
            <w:pPr>
              <w:spacing w:after="120"/>
              <w:rPr>
                <w:rFonts w:ascii="Garamond" w:hAnsi="Garamond"/>
                <w:bCs/>
                <w:sz w:val="24"/>
              </w:rPr>
            </w:pPr>
            <w:r w:rsidRPr="001A14F5">
              <w:rPr>
                <w:rFonts w:ascii="Garamond" w:hAnsi="Garamond"/>
                <w:bCs/>
                <w:sz w:val="24"/>
              </w:rPr>
              <w:t>2</w:t>
            </w:r>
            <w:r w:rsidR="00511E85" w:rsidRPr="001A14F5">
              <w:rPr>
                <w:rFonts w:ascii="Garamond" w:hAnsi="Garamond"/>
                <w:bCs/>
                <w:sz w:val="24"/>
              </w:rPr>
              <w:t xml:space="preserve">. Recommendations to remove impediments to making progress toward achieving the </w:t>
            </w:r>
            <w:r w:rsidR="00063C25" w:rsidRPr="001A14F5">
              <w:rPr>
                <w:rFonts w:ascii="Garamond" w:hAnsi="Garamond"/>
                <w:bCs/>
                <w:sz w:val="24"/>
              </w:rPr>
              <w:t>RPS</w:t>
            </w:r>
            <w:r w:rsidR="00511E85" w:rsidRPr="001A14F5">
              <w:rPr>
                <w:rFonts w:ascii="Garamond" w:hAnsi="Garamond"/>
                <w:bCs/>
                <w:sz w:val="24"/>
              </w:rPr>
              <w:t xml:space="preserve"> requirements</w:t>
            </w:r>
            <w:r w:rsidR="00FF5362" w:rsidRPr="001A14F5">
              <w:rPr>
                <w:rFonts w:ascii="Garamond" w:hAnsi="Garamond"/>
                <w:bCs/>
                <w:sz w:val="24"/>
              </w:rPr>
              <w:t>.</w:t>
            </w:r>
          </w:p>
          <w:p w14:paraId="17798BC1" w14:textId="4ECD2740" w:rsidR="00F87DAE" w:rsidRPr="001A14F5" w:rsidRDefault="00F87DAE" w:rsidP="00511E85">
            <w:pPr>
              <w:spacing w:after="120"/>
              <w:rPr>
                <w:rFonts w:ascii="Garamond" w:hAnsi="Garamond"/>
                <w:bCs/>
                <w:sz w:val="24"/>
              </w:rPr>
            </w:pPr>
            <w:r w:rsidRPr="001A14F5">
              <w:rPr>
                <w:rFonts w:ascii="Garamond" w:hAnsi="Garamond"/>
                <w:bCs/>
                <w:sz w:val="24"/>
              </w:rPr>
              <w:t>3. For IOUs only: Progress made in upgrades to transmission and distribution facilities and other electrical system components it owns to interconnect renewables and to supply the electricity generated by those resources to load, including the status of planning, siting, and permitting transmission facilities by federal, state, and local agencies.</w:t>
            </w:r>
          </w:p>
          <w:p w14:paraId="2FAE18D8" w14:textId="3962132C" w:rsidR="00511E85" w:rsidRPr="001A14F5" w:rsidRDefault="00765EF2" w:rsidP="00511E85">
            <w:pPr>
              <w:spacing w:after="120"/>
              <w:rPr>
                <w:rFonts w:ascii="Garamond" w:hAnsi="Garamond"/>
                <w:bCs/>
                <w:sz w:val="24"/>
              </w:rPr>
            </w:pPr>
            <w:r>
              <w:rPr>
                <w:rFonts w:ascii="Garamond" w:hAnsi="Garamond"/>
                <w:bCs/>
                <w:sz w:val="24"/>
              </w:rPr>
              <w:t xml:space="preserve">Narrative Reports continue to be required to provide </w:t>
            </w:r>
            <w:r w:rsidR="00511E85" w:rsidRPr="001A14F5">
              <w:rPr>
                <w:rFonts w:ascii="Garamond" w:hAnsi="Garamond"/>
                <w:bCs/>
                <w:sz w:val="24"/>
              </w:rPr>
              <w:t>data on</w:t>
            </w:r>
            <w:r w:rsidR="003201D7">
              <w:rPr>
                <w:rFonts w:ascii="Garamond" w:hAnsi="Garamond"/>
                <w:bCs/>
                <w:sz w:val="24"/>
              </w:rPr>
              <w:t xml:space="preserve"> items</w:t>
            </w:r>
            <w:r w:rsidR="00511E85" w:rsidRPr="001A14F5">
              <w:rPr>
                <w:rFonts w:ascii="Garamond" w:hAnsi="Garamond"/>
                <w:bCs/>
                <w:sz w:val="24"/>
              </w:rPr>
              <w:t xml:space="preserve"> #2 and 3 </w:t>
            </w:r>
            <w:r>
              <w:rPr>
                <w:rFonts w:ascii="Garamond" w:hAnsi="Garamond"/>
                <w:bCs/>
                <w:sz w:val="24"/>
              </w:rPr>
              <w:t>as</w:t>
            </w:r>
            <w:r w:rsidR="00511E85" w:rsidRPr="001A14F5">
              <w:rPr>
                <w:rFonts w:ascii="Garamond" w:hAnsi="Garamond"/>
                <w:bCs/>
                <w:sz w:val="24"/>
              </w:rPr>
              <w:t xml:space="preserve"> required for compl</w:t>
            </w:r>
            <w:r w:rsidR="00FF5362" w:rsidRPr="001A14F5">
              <w:rPr>
                <w:rFonts w:ascii="Garamond" w:hAnsi="Garamond"/>
                <w:bCs/>
                <w:sz w:val="24"/>
              </w:rPr>
              <w:t>iance</w:t>
            </w:r>
            <w:r w:rsidR="00511E85" w:rsidRPr="001A14F5">
              <w:rPr>
                <w:rFonts w:ascii="Garamond" w:hAnsi="Garamond"/>
                <w:bCs/>
                <w:sz w:val="24"/>
              </w:rPr>
              <w:t xml:space="preserve"> with PU</w:t>
            </w:r>
            <w:r w:rsidR="00FF5362" w:rsidRPr="001A14F5">
              <w:rPr>
                <w:rFonts w:ascii="Garamond" w:hAnsi="Garamond"/>
                <w:bCs/>
                <w:sz w:val="24"/>
              </w:rPr>
              <w:t xml:space="preserve"> </w:t>
            </w:r>
            <w:r w:rsidR="00511E85" w:rsidRPr="001A14F5">
              <w:rPr>
                <w:rFonts w:ascii="Garamond" w:hAnsi="Garamond"/>
                <w:bCs/>
                <w:sz w:val="24"/>
              </w:rPr>
              <w:t>C</w:t>
            </w:r>
            <w:r w:rsidR="00FF5362" w:rsidRPr="001A14F5">
              <w:rPr>
                <w:rFonts w:ascii="Garamond" w:hAnsi="Garamond"/>
                <w:bCs/>
                <w:sz w:val="24"/>
              </w:rPr>
              <w:t>ode</w:t>
            </w:r>
            <w:r w:rsidR="00511E85" w:rsidRPr="001A14F5">
              <w:rPr>
                <w:rFonts w:ascii="Garamond" w:hAnsi="Garamond"/>
                <w:bCs/>
                <w:sz w:val="24"/>
              </w:rPr>
              <w:t xml:space="preserve"> 399.13(a)(3). </w:t>
            </w:r>
          </w:p>
          <w:p w14:paraId="2658D1F1" w14:textId="6B364D51" w:rsidR="00A07754" w:rsidRPr="001A14F5" w:rsidRDefault="00511E85" w:rsidP="00511E85">
            <w:pPr>
              <w:spacing w:after="120"/>
              <w:rPr>
                <w:rFonts w:ascii="Garamond" w:hAnsi="Garamond"/>
                <w:bCs/>
                <w:sz w:val="24"/>
              </w:rPr>
            </w:pPr>
            <w:r w:rsidRPr="001A14F5">
              <w:rPr>
                <w:rFonts w:ascii="Garamond" w:hAnsi="Garamond"/>
                <w:bCs/>
                <w:sz w:val="24"/>
              </w:rPr>
              <w:t xml:space="preserve">Staff has modified #1 </w:t>
            </w:r>
            <w:r w:rsidR="00F62E1D" w:rsidRPr="001A14F5">
              <w:rPr>
                <w:rFonts w:ascii="Garamond" w:hAnsi="Garamond"/>
                <w:bCs/>
                <w:sz w:val="24"/>
              </w:rPr>
              <w:t>in the Compliance Report Instructions tab -</w:t>
            </w:r>
            <w:r w:rsidRPr="001A14F5">
              <w:rPr>
                <w:rFonts w:ascii="Garamond" w:hAnsi="Garamond"/>
                <w:bCs/>
                <w:sz w:val="24"/>
              </w:rPr>
              <w:t xml:space="preserve"> a narrative for this item </w:t>
            </w:r>
            <w:r w:rsidR="00F62E1D" w:rsidRPr="001A14F5">
              <w:rPr>
                <w:rFonts w:ascii="Garamond" w:hAnsi="Garamond"/>
                <w:bCs/>
                <w:sz w:val="24"/>
              </w:rPr>
              <w:t xml:space="preserve">is </w:t>
            </w:r>
            <w:r w:rsidR="00157A40" w:rsidRPr="001A14F5">
              <w:rPr>
                <w:rFonts w:ascii="Garamond" w:hAnsi="Garamond"/>
                <w:bCs/>
                <w:sz w:val="24"/>
              </w:rPr>
              <w:t xml:space="preserve">only </w:t>
            </w:r>
            <w:r w:rsidR="00F62E1D" w:rsidRPr="001A14F5">
              <w:rPr>
                <w:rFonts w:ascii="Garamond" w:hAnsi="Garamond"/>
                <w:bCs/>
                <w:sz w:val="24"/>
              </w:rPr>
              <w:t xml:space="preserve">required </w:t>
            </w:r>
            <w:r w:rsidRPr="001A14F5">
              <w:rPr>
                <w:rFonts w:ascii="Garamond" w:hAnsi="Garamond"/>
                <w:bCs/>
                <w:sz w:val="24"/>
              </w:rPr>
              <w:t xml:space="preserve">if the </w:t>
            </w:r>
            <w:r w:rsidR="00F62E1D" w:rsidRPr="001A14F5">
              <w:rPr>
                <w:rFonts w:ascii="Garamond" w:hAnsi="Garamond"/>
                <w:bCs/>
                <w:sz w:val="24"/>
              </w:rPr>
              <w:t xml:space="preserve">retail seller </w:t>
            </w:r>
            <w:r w:rsidRPr="001A14F5">
              <w:rPr>
                <w:rFonts w:ascii="Garamond" w:hAnsi="Garamond"/>
                <w:bCs/>
                <w:sz w:val="24"/>
              </w:rPr>
              <w:t>is awaiting siting/permitting approvals from local/state/federal agencies for new RPS projects.</w:t>
            </w:r>
          </w:p>
        </w:tc>
      </w:tr>
      <w:tr w:rsidR="0033699E" w:rsidRPr="001A14F5" w14:paraId="555584AB" w14:textId="77777777" w:rsidTr="00D22712">
        <w:trPr>
          <w:trHeight w:val="1250"/>
        </w:trPr>
        <w:tc>
          <w:tcPr>
            <w:tcW w:w="2497" w:type="dxa"/>
            <w:tcBorders>
              <w:bottom w:val="single" w:sz="4" w:space="0" w:color="auto"/>
            </w:tcBorders>
            <w:shd w:val="clear" w:color="auto" w:fill="auto"/>
            <w:vAlign w:val="center"/>
          </w:tcPr>
          <w:p w14:paraId="5B4E3C62" w14:textId="78CC2E57" w:rsidR="00A07754" w:rsidRPr="001A14F5" w:rsidRDefault="00227D08" w:rsidP="00C02FD5">
            <w:pPr>
              <w:spacing w:after="120"/>
              <w:jc w:val="center"/>
              <w:rPr>
                <w:rFonts w:ascii="Garamond" w:hAnsi="Garamond"/>
                <w:bCs/>
                <w:sz w:val="24"/>
              </w:rPr>
            </w:pPr>
            <w:r w:rsidRPr="001A14F5">
              <w:rPr>
                <w:rFonts w:ascii="Garamond" w:hAnsi="Garamond"/>
                <w:bCs/>
                <w:sz w:val="24"/>
              </w:rPr>
              <w:lastRenderedPageBreak/>
              <w:t>Compliance Report Template</w:t>
            </w:r>
          </w:p>
        </w:tc>
        <w:tc>
          <w:tcPr>
            <w:tcW w:w="1338" w:type="dxa"/>
            <w:tcBorders>
              <w:bottom w:val="single" w:sz="4" w:space="0" w:color="auto"/>
            </w:tcBorders>
            <w:shd w:val="clear" w:color="auto" w:fill="auto"/>
            <w:noWrap/>
            <w:vAlign w:val="center"/>
          </w:tcPr>
          <w:p w14:paraId="636F51B1" w14:textId="253ABABF" w:rsidR="00A07754" w:rsidRPr="001A14F5" w:rsidRDefault="00227D08" w:rsidP="00C02FD5">
            <w:pPr>
              <w:spacing w:after="120"/>
              <w:rPr>
                <w:rFonts w:ascii="Garamond" w:hAnsi="Garamond"/>
                <w:bCs/>
                <w:sz w:val="24"/>
              </w:rPr>
            </w:pPr>
            <w:r w:rsidRPr="001A14F5">
              <w:rPr>
                <w:rFonts w:ascii="Garamond" w:hAnsi="Garamond"/>
                <w:bCs/>
                <w:sz w:val="24"/>
              </w:rPr>
              <w:t xml:space="preserve">CASMU </w:t>
            </w:r>
          </w:p>
        </w:tc>
        <w:tc>
          <w:tcPr>
            <w:tcW w:w="3162" w:type="dxa"/>
            <w:tcBorders>
              <w:bottom w:val="single" w:sz="4" w:space="0" w:color="auto"/>
            </w:tcBorders>
            <w:shd w:val="clear" w:color="auto" w:fill="auto"/>
            <w:vAlign w:val="center"/>
          </w:tcPr>
          <w:p w14:paraId="409DE830" w14:textId="02865ABD" w:rsidR="00A07754" w:rsidRPr="001A14F5" w:rsidRDefault="00227D08" w:rsidP="00C02FD5">
            <w:pPr>
              <w:spacing w:after="120"/>
              <w:rPr>
                <w:rFonts w:ascii="Garamond" w:hAnsi="Garamond"/>
                <w:bCs/>
                <w:sz w:val="24"/>
              </w:rPr>
            </w:pPr>
            <w:r w:rsidRPr="00DA353D">
              <w:rPr>
                <w:rFonts w:ascii="Garamond" w:hAnsi="Garamond"/>
                <w:sz w:val="24"/>
              </w:rPr>
              <w:t xml:space="preserve">CASMU proposes that areas in the reporting templates where confidentiality may be claimed should be clearly identified in the template. </w:t>
            </w:r>
          </w:p>
        </w:tc>
        <w:tc>
          <w:tcPr>
            <w:tcW w:w="4163" w:type="dxa"/>
            <w:tcBorders>
              <w:bottom w:val="single" w:sz="4" w:space="0" w:color="auto"/>
            </w:tcBorders>
            <w:shd w:val="clear" w:color="auto" w:fill="auto"/>
            <w:vAlign w:val="center"/>
          </w:tcPr>
          <w:p w14:paraId="04E16111" w14:textId="7753B510" w:rsidR="00A07754" w:rsidRPr="001A14F5" w:rsidRDefault="00A460F6" w:rsidP="00A460F6">
            <w:pPr>
              <w:spacing w:after="120"/>
              <w:rPr>
                <w:rFonts w:ascii="Garamond" w:hAnsi="Garamond"/>
                <w:bCs/>
                <w:sz w:val="24"/>
              </w:rPr>
            </w:pPr>
            <w:r w:rsidRPr="001A14F5">
              <w:rPr>
                <w:rFonts w:ascii="Garamond" w:hAnsi="Garamond"/>
                <w:bCs/>
                <w:sz w:val="24"/>
              </w:rPr>
              <w:t>Staff believes this is unnecessary, and that the confidentiality of the information should be requested by the retail seller on a case by case basis (i.e. each year).</w:t>
            </w:r>
            <w:r w:rsidR="00433D92" w:rsidRPr="001A14F5">
              <w:rPr>
                <w:rFonts w:ascii="Garamond" w:hAnsi="Garamond"/>
                <w:bCs/>
                <w:sz w:val="24"/>
              </w:rPr>
              <w:t xml:space="preserve"> S</w:t>
            </w:r>
            <w:r w:rsidRPr="001A14F5">
              <w:rPr>
                <w:rFonts w:ascii="Garamond" w:hAnsi="Garamond"/>
                <w:bCs/>
                <w:sz w:val="24"/>
              </w:rPr>
              <w:t xml:space="preserve">ome </w:t>
            </w:r>
            <w:r w:rsidR="00126859" w:rsidRPr="001A14F5">
              <w:rPr>
                <w:rFonts w:ascii="Garamond" w:hAnsi="Garamond"/>
                <w:bCs/>
                <w:sz w:val="24"/>
              </w:rPr>
              <w:t>retail sellers</w:t>
            </w:r>
            <w:r w:rsidRPr="001A14F5">
              <w:rPr>
                <w:rFonts w:ascii="Garamond" w:hAnsi="Garamond"/>
                <w:bCs/>
                <w:sz w:val="24"/>
              </w:rPr>
              <w:t xml:space="preserve"> may </w:t>
            </w:r>
            <w:r w:rsidR="00765EF2">
              <w:rPr>
                <w:rFonts w:ascii="Garamond" w:hAnsi="Garamond"/>
                <w:bCs/>
                <w:sz w:val="24"/>
              </w:rPr>
              <w:t xml:space="preserve">choose to </w:t>
            </w:r>
            <w:r w:rsidRPr="001A14F5">
              <w:rPr>
                <w:rFonts w:ascii="Garamond" w:hAnsi="Garamond"/>
                <w:bCs/>
                <w:sz w:val="24"/>
              </w:rPr>
              <w:t xml:space="preserve">not claim confidentiality of their procurement information for transparency purposes (i.e. in 2019, </w:t>
            </w:r>
            <w:r w:rsidR="00126859" w:rsidRPr="001A14F5">
              <w:rPr>
                <w:rFonts w:ascii="Garamond" w:hAnsi="Garamond"/>
                <w:bCs/>
                <w:sz w:val="24"/>
              </w:rPr>
              <w:t xml:space="preserve">13 </w:t>
            </w:r>
            <w:r w:rsidRPr="001A14F5">
              <w:rPr>
                <w:rFonts w:ascii="Garamond" w:hAnsi="Garamond"/>
                <w:bCs/>
                <w:sz w:val="24"/>
              </w:rPr>
              <w:t>CCAs did not claim confidentiality of their compliance information).</w:t>
            </w:r>
          </w:p>
        </w:tc>
      </w:tr>
      <w:tr w:rsidR="0033699E" w:rsidRPr="001A14F5" w14:paraId="084AF69A" w14:textId="77777777" w:rsidTr="00D22712">
        <w:trPr>
          <w:trHeight w:val="1520"/>
        </w:trPr>
        <w:tc>
          <w:tcPr>
            <w:tcW w:w="2497" w:type="dxa"/>
            <w:tcBorders>
              <w:bottom w:val="single" w:sz="4" w:space="0" w:color="auto"/>
            </w:tcBorders>
            <w:shd w:val="clear" w:color="auto" w:fill="auto"/>
            <w:vAlign w:val="center"/>
          </w:tcPr>
          <w:p w14:paraId="4CCF7680" w14:textId="02D75D37" w:rsidR="00A07754" w:rsidRPr="001A14F5" w:rsidRDefault="00D85EA2" w:rsidP="00C02FD5">
            <w:pPr>
              <w:spacing w:after="120"/>
              <w:jc w:val="center"/>
              <w:rPr>
                <w:rFonts w:ascii="Garamond" w:hAnsi="Garamond"/>
                <w:bCs/>
                <w:sz w:val="24"/>
              </w:rPr>
            </w:pPr>
            <w:r w:rsidRPr="001A14F5">
              <w:rPr>
                <w:rFonts w:ascii="Garamond" w:hAnsi="Garamond"/>
                <w:bCs/>
                <w:sz w:val="24"/>
              </w:rPr>
              <w:t>Compliance Report Template</w:t>
            </w:r>
            <w:r w:rsidR="00D47D64" w:rsidRPr="001A14F5">
              <w:rPr>
                <w:rFonts w:ascii="Garamond" w:hAnsi="Garamond"/>
                <w:bCs/>
                <w:sz w:val="24"/>
              </w:rPr>
              <w:t>: RPS Progress Summary tab</w:t>
            </w:r>
          </w:p>
        </w:tc>
        <w:tc>
          <w:tcPr>
            <w:tcW w:w="1338" w:type="dxa"/>
            <w:tcBorders>
              <w:bottom w:val="single" w:sz="4" w:space="0" w:color="auto"/>
            </w:tcBorders>
            <w:shd w:val="clear" w:color="auto" w:fill="auto"/>
            <w:noWrap/>
            <w:vAlign w:val="center"/>
          </w:tcPr>
          <w:p w14:paraId="4E01F94C" w14:textId="5B857BFB" w:rsidR="00A07754" w:rsidRPr="001A14F5" w:rsidRDefault="00D85EA2" w:rsidP="00C02FD5">
            <w:pPr>
              <w:spacing w:after="120"/>
              <w:rPr>
                <w:rFonts w:ascii="Garamond" w:hAnsi="Garamond"/>
                <w:bCs/>
                <w:sz w:val="24"/>
              </w:rPr>
            </w:pPr>
            <w:r w:rsidRPr="001A14F5">
              <w:rPr>
                <w:rFonts w:ascii="Garamond" w:hAnsi="Garamond"/>
                <w:bCs/>
                <w:sz w:val="24"/>
              </w:rPr>
              <w:t>CASMU</w:t>
            </w:r>
          </w:p>
        </w:tc>
        <w:tc>
          <w:tcPr>
            <w:tcW w:w="3162" w:type="dxa"/>
            <w:tcBorders>
              <w:bottom w:val="single" w:sz="4" w:space="0" w:color="auto"/>
            </w:tcBorders>
            <w:shd w:val="clear" w:color="auto" w:fill="auto"/>
            <w:vAlign w:val="center"/>
          </w:tcPr>
          <w:p w14:paraId="3CC5A88F" w14:textId="282355A5" w:rsidR="00A07754" w:rsidRPr="001A14F5" w:rsidRDefault="00722B40" w:rsidP="00C02FD5">
            <w:pPr>
              <w:spacing w:after="120"/>
              <w:rPr>
                <w:rFonts w:ascii="Garamond" w:hAnsi="Garamond"/>
                <w:bCs/>
                <w:sz w:val="24"/>
              </w:rPr>
            </w:pPr>
            <w:r w:rsidRPr="00DA353D">
              <w:rPr>
                <w:rFonts w:ascii="Garamond" w:hAnsi="Garamond"/>
                <w:sz w:val="24"/>
              </w:rPr>
              <w:t xml:space="preserve">CASMU provides a table that shows the redundant data </w:t>
            </w:r>
            <w:r w:rsidR="00326D6E" w:rsidRPr="00DA353D">
              <w:rPr>
                <w:rFonts w:ascii="Garamond" w:hAnsi="Garamond"/>
                <w:sz w:val="24"/>
              </w:rPr>
              <w:t xml:space="preserve">shown </w:t>
            </w:r>
            <w:r w:rsidR="00D622FB" w:rsidRPr="00DA353D">
              <w:rPr>
                <w:rFonts w:ascii="Garamond" w:hAnsi="Garamond"/>
                <w:sz w:val="24"/>
              </w:rPr>
              <w:t xml:space="preserve">in multiple tabs of the Compliance Report. </w:t>
            </w:r>
          </w:p>
        </w:tc>
        <w:tc>
          <w:tcPr>
            <w:tcW w:w="4163" w:type="dxa"/>
            <w:tcBorders>
              <w:bottom w:val="single" w:sz="4" w:space="0" w:color="auto"/>
            </w:tcBorders>
            <w:shd w:val="clear" w:color="auto" w:fill="auto"/>
            <w:vAlign w:val="center"/>
          </w:tcPr>
          <w:p w14:paraId="05E04886" w14:textId="235DD37C" w:rsidR="00A07754" w:rsidRPr="001A14F5" w:rsidRDefault="001550A2" w:rsidP="001550A2">
            <w:pPr>
              <w:spacing w:after="120"/>
              <w:rPr>
                <w:rFonts w:ascii="Garamond" w:hAnsi="Garamond"/>
                <w:bCs/>
                <w:sz w:val="24"/>
              </w:rPr>
            </w:pPr>
            <w:r w:rsidRPr="001A14F5">
              <w:rPr>
                <w:rFonts w:ascii="Garamond" w:hAnsi="Garamond"/>
                <w:bCs/>
                <w:sz w:val="24"/>
              </w:rPr>
              <w:t xml:space="preserve">Staff has eliminated the RPS Progress Summary tab, which shows </w:t>
            </w:r>
            <w:r w:rsidR="00D47D64" w:rsidRPr="001A14F5">
              <w:rPr>
                <w:rFonts w:ascii="Garamond" w:hAnsi="Garamond"/>
                <w:bCs/>
                <w:sz w:val="24"/>
              </w:rPr>
              <w:t xml:space="preserve">the same </w:t>
            </w:r>
            <w:r w:rsidRPr="001A14F5">
              <w:rPr>
                <w:rFonts w:ascii="Garamond" w:hAnsi="Garamond"/>
                <w:bCs/>
                <w:sz w:val="24"/>
              </w:rPr>
              <w:t>information</w:t>
            </w:r>
            <w:r w:rsidR="00D622FB" w:rsidRPr="001A14F5">
              <w:rPr>
                <w:rFonts w:ascii="Garamond" w:hAnsi="Garamond"/>
                <w:bCs/>
                <w:sz w:val="24"/>
              </w:rPr>
              <w:t xml:space="preserve"> </w:t>
            </w:r>
            <w:r w:rsidRPr="001A14F5">
              <w:rPr>
                <w:rFonts w:ascii="Garamond" w:hAnsi="Garamond"/>
                <w:bCs/>
                <w:sz w:val="24"/>
              </w:rPr>
              <w:t>as the Procurement Details tab</w:t>
            </w:r>
            <w:r w:rsidR="00D622FB" w:rsidRPr="001A14F5">
              <w:rPr>
                <w:rFonts w:ascii="Garamond" w:hAnsi="Garamond"/>
                <w:bCs/>
                <w:sz w:val="24"/>
              </w:rPr>
              <w:t xml:space="preserve">. </w:t>
            </w:r>
          </w:p>
        </w:tc>
      </w:tr>
      <w:tr w:rsidR="0033699E" w:rsidRPr="001A14F5" w14:paraId="48A42411" w14:textId="77777777" w:rsidTr="00D22712">
        <w:trPr>
          <w:trHeight w:val="899"/>
        </w:trPr>
        <w:tc>
          <w:tcPr>
            <w:tcW w:w="2497" w:type="dxa"/>
            <w:tcBorders>
              <w:bottom w:val="single" w:sz="4" w:space="0" w:color="auto"/>
            </w:tcBorders>
            <w:shd w:val="clear" w:color="auto" w:fill="auto"/>
            <w:vAlign w:val="center"/>
          </w:tcPr>
          <w:p w14:paraId="3EE33515" w14:textId="4CD014D1" w:rsidR="00A07754" w:rsidRPr="001A14F5" w:rsidRDefault="00C11FB6" w:rsidP="00C02FD5">
            <w:pPr>
              <w:spacing w:after="120"/>
              <w:jc w:val="center"/>
              <w:rPr>
                <w:rFonts w:ascii="Garamond" w:hAnsi="Garamond"/>
                <w:bCs/>
                <w:sz w:val="24"/>
              </w:rPr>
            </w:pPr>
            <w:r w:rsidRPr="001A14F5">
              <w:rPr>
                <w:rFonts w:ascii="Garamond" w:hAnsi="Garamond"/>
                <w:bCs/>
                <w:sz w:val="24"/>
              </w:rPr>
              <w:t>Compliance Reporting: General</w:t>
            </w:r>
          </w:p>
        </w:tc>
        <w:tc>
          <w:tcPr>
            <w:tcW w:w="1338" w:type="dxa"/>
            <w:tcBorders>
              <w:bottom w:val="single" w:sz="4" w:space="0" w:color="auto"/>
            </w:tcBorders>
            <w:shd w:val="clear" w:color="auto" w:fill="auto"/>
            <w:noWrap/>
            <w:vAlign w:val="center"/>
          </w:tcPr>
          <w:p w14:paraId="2D7836E1" w14:textId="0A2C46F4" w:rsidR="00A07754" w:rsidRPr="001A14F5" w:rsidRDefault="00C11FB6" w:rsidP="00C02FD5">
            <w:pPr>
              <w:spacing w:after="120"/>
              <w:rPr>
                <w:rFonts w:ascii="Garamond" w:hAnsi="Garamond"/>
                <w:bCs/>
                <w:sz w:val="24"/>
              </w:rPr>
            </w:pPr>
            <w:r w:rsidRPr="001A14F5">
              <w:rPr>
                <w:rFonts w:ascii="Garamond" w:hAnsi="Garamond"/>
                <w:bCs/>
                <w:sz w:val="24"/>
              </w:rPr>
              <w:t xml:space="preserve">Shell </w:t>
            </w:r>
          </w:p>
        </w:tc>
        <w:tc>
          <w:tcPr>
            <w:tcW w:w="3162" w:type="dxa"/>
            <w:tcBorders>
              <w:bottom w:val="single" w:sz="4" w:space="0" w:color="auto"/>
            </w:tcBorders>
            <w:shd w:val="clear" w:color="auto" w:fill="auto"/>
            <w:vAlign w:val="center"/>
          </w:tcPr>
          <w:p w14:paraId="77DE1DD1" w14:textId="519803E3" w:rsidR="00A07754" w:rsidRPr="001A14F5" w:rsidRDefault="00E6632C" w:rsidP="00C02FD5">
            <w:pPr>
              <w:spacing w:after="120"/>
              <w:rPr>
                <w:rFonts w:ascii="Garamond" w:hAnsi="Garamond"/>
                <w:bCs/>
                <w:sz w:val="24"/>
              </w:rPr>
            </w:pPr>
            <w:r w:rsidRPr="00DA353D">
              <w:rPr>
                <w:rFonts w:ascii="Garamond" w:hAnsi="Garamond"/>
                <w:sz w:val="24"/>
              </w:rPr>
              <w:t xml:space="preserve">Shell argues that all retail sellers’ historical RPS procurement information should be uploaded to a centralized data warehouse where this information would be available to Energy Division. </w:t>
            </w:r>
          </w:p>
        </w:tc>
        <w:tc>
          <w:tcPr>
            <w:tcW w:w="4163" w:type="dxa"/>
            <w:tcBorders>
              <w:bottom w:val="single" w:sz="4" w:space="0" w:color="auto"/>
            </w:tcBorders>
            <w:shd w:val="clear" w:color="auto" w:fill="auto"/>
            <w:vAlign w:val="center"/>
          </w:tcPr>
          <w:p w14:paraId="1F2AD117" w14:textId="01666487" w:rsidR="00A07754" w:rsidRPr="001A14F5" w:rsidRDefault="00835864" w:rsidP="00835864">
            <w:pPr>
              <w:spacing w:after="120"/>
              <w:rPr>
                <w:rFonts w:ascii="Garamond" w:hAnsi="Garamond"/>
                <w:bCs/>
                <w:sz w:val="24"/>
              </w:rPr>
            </w:pPr>
            <w:r w:rsidRPr="001A14F5">
              <w:rPr>
                <w:rFonts w:ascii="Garamond" w:hAnsi="Garamond"/>
                <w:bCs/>
                <w:sz w:val="24"/>
              </w:rPr>
              <w:t xml:space="preserve">Staff is currently working to expand the existing RPS Database to include </w:t>
            </w:r>
            <w:r w:rsidR="00236B19">
              <w:rPr>
                <w:rFonts w:ascii="Garamond" w:hAnsi="Garamond"/>
                <w:bCs/>
                <w:sz w:val="24"/>
              </w:rPr>
              <w:t xml:space="preserve">all </w:t>
            </w:r>
            <w:r w:rsidR="00F95B5B">
              <w:rPr>
                <w:rFonts w:ascii="Garamond" w:hAnsi="Garamond"/>
                <w:bCs/>
                <w:sz w:val="24"/>
              </w:rPr>
              <w:t xml:space="preserve">retail sellers’ </w:t>
            </w:r>
            <w:r w:rsidRPr="001A14F5">
              <w:rPr>
                <w:rFonts w:ascii="Garamond" w:hAnsi="Garamond"/>
                <w:bCs/>
                <w:sz w:val="24"/>
              </w:rPr>
              <w:t xml:space="preserve">Compliance Report submissions. </w:t>
            </w:r>
          </w:p>
        </w:tc>
      </w:tr>
      <w:tr w:rsidR="0033699E" w:rsidRPr="001A14F5" w14:paraId="54A44C65" w14:textId="77777777" w:rsidTr="00D22712">
        <w:trPr>
          <w:trHeight w:val="530"/>
        </w:trPr>
        <w:tc>
          <w:tcPr>
            <w:tcW w:w="2497" w:type="dxa"/>
            <w:tcBorders>
              <w:top w:val="single" w:sz="4" w:space="0" w:color="auto"/>
            </w:tcBorders>
            <w:shd w:val="clear" w:color="auto" w:fill="auto"/>
            <w:vAlign w:val="center"/>
          </w:tcPr>
          <w:p w14:paraId="481FE5DB" w14:textId="77777777" w:rsidR="00986273" w:rsidRPr="001A14F5" w:rsidRDefault="00D01E98" w:rsidP="00C02FD5">
            <w:pPr>
              <w:spacing w:after="120"/>
              <w:rPr>
                <w:rFonts w:ascii="Garamond" w:hAnsi="Garamond"/>
                <w:bCs/>
                <w:sz w:val="24"/>
              </w:rPr>
            </w:pPr>
            <w:r w:rsidRPr="001A14F5">
              <w:rPr>
                <w:rFonts w:ascii="Garamond" w:hAnsi="Garamond"/>
                <w:bCs/>
                <w:sz w:val="24"/>
              </w:rPr>
              <w:t xml:space="preserve">Compliance Report Template: </w:t>
            </w:r>
          </w:p>
          <w:p w14:paraId="6EDEB8A1" w14:textId="5C51C5D8" w:rsidR="00A07754" w:rsidRPr="001A14F5" w:rsidRDefault="00D01E98" w:rsidP="00C02FD5">
            <w:pPr>
              <w:spacing w:after="120"/>
              <w:rPr>
                <w:rFonts w:ascii="Garamond" w:hAnsi="Garamond"/>
                <w:bCs/>
                <w:sz w:val="24"/>
              </w:rPr>
            </w:pPr>
            <w:r w:rsidRPr="001A14F5">
              <w:rPr>
                <w:rFonts w:ascii="Garamond" w:hAnsi="Garamond"/>
                <w:bCs/>
                <w:sz w:val="24"/>
              </w:rPr>
              <w:t xml:space="preserve">Unique Inputs, </w:t>
            </w:r>
            <w:r w:rsidR="00986273" w:rsidRPr="001A14F5">
              <w:rPr>
                <w:rFonts w:ascii="Garamond" w:hAnsi="Garamond"/>
                <w:bCs/>
                <w:sz w:val="24"/>
              </w:rPr>
              <w:t xml:space="preserve">Accounting, </w:t>
            </w:r>
            <w:r w:rsidRPr="001A14F5">
              <w:rPr>
                <w:rFonts w:ascii="Garamond" w:hAnsi="Garamond"/>
                <w:bCs/>
                <w:sz w:val="24"/>
              </w:rPr>
              <w:t>Contract Details</w:t>
            </w:r>
            <w:r w:rsidR="00986273" w:rsidRPr="001A14F5">
              <w:rPr>
                <w:rFonts w:ascii="Garamond" w:hAnsi="Garamond"/>
                <w:bCs/>
                <w:sz w:val="24"/>
              </w:rPr>
              <w:t>,</w:t>
            </w:r>
            <w:r w:rsidRPr="001A14F5">
              <w:rPr>
                <w:rFonts w:ascii="Garamond" w:hAnsi="Garamond"/>
                <w:bCs/>
                <w:sz w:val="24"/>
              </w:rPr>
              <w:t xml:space="preserve"> Procurement Details, </w:t>
            </w:r>
            <w:r w:rsidR="00986273" w:rsidRPr="001A14F5">
              <w:rPr>
                <w:rFonts w:ascii="Garamond" w:hAnsi="Garamond"/>
                <w:bCs/>
                <w:sz w:val="24"/>
              </w:rPr>
              <w:t xml:space="preserve">REC </w:t>
            </w:r>
            <w:r w:rsidRPr="001A14F5">
              <w:rPr>
                <w:rFonts w:ascii="Garamond" w:hAnsi="Garamond"/>
                <w:bCs/>
                <w:sz w:val="24"/>
              </w:rPr>
              <w:t>Retirements tab</w:t>
            </w:r>
            <w:r w:rsidR="00986273" w:rsidRPr="001A14F5">
              <w:rPr>
                <w:rFonts w:ascii="Garamond" w:hAnsi="Garamond"/>
                <w:bCs/>
                <w:sz w:val="24"/>
              </w:rPr>
              <w:t>s</w:t>
            </w:r>
          </w:p>
        </w:tc>
        <w:tc>
          <w:tcPr>
            <w:tcW w:w="1338" w:type="dxa"/>
            <w:tcBorders>
              <w:top w:val="single" w:sz="4" w:space="0" w:color="auto"/>
            </w:tcBorders>
            <w:shd w:val="clear" w:color="auto" w:fill="auto"/>
            <w:noWrap/>
            <w:vAlign w:val="center"/>
          </w:tcPr>
          <w:p w14:paraId="715DE25C" w14:textId="194FD41C" w:rsidR="00A07754" w:rsidRPr="001A14F5" w:rsidRDefault="00986273" w:rsidP="00C02FD5">
            <w:pPr>
              <w:spacing w:after="120"/>
              <w:rPr>
                <w:rFonts w:ascii="Garamond" w:hAnsi="Garamond"/>
                <w:bCs/>
                <w:sz w:val="24"/>
              </w:rPr>
            </w:pPr>
            <w:r w:rsidRPr="00DA353D">
              <w:rPr>
                <w:rFonts w:ascii="Garamond" w:hAnsi="Garamond"/>
                <w:sz w:val="24"/>
              </w:rPr>
              <w:t>Joint IOUs, Joint CCAs, Shell, AReM/UC Regents, CleanPowerSF, Public Advocates Office</w:t>
            </w:r>
            <w:r w:rsidR="00823FBA" w:rsidRPr="00DA353D">
              <w:rPr>
                <w:rFonts w:ascii="Garamond" w:hAnsi="Garamond"/>
                <w:sz w:val="24"/>
              </w:rPr>
              <w:t>, CASMU</w:t>
            </w:r>
          </w:p>
        </w:tc>
        <w:tc>
          <w:tcPr>
            <w:tcW w:w="3162" w:type="dxa"/>
            <w:tcBorders>
              <w:top w:val="single" w:sz="4" w:space="0" w:color="auto"/>
            </w:tcBorders>
            <w:shd w:val="clear" w:color="auto" w:fill="auto"/>
            <w:vAlign w:val="center"/>
          </w:tcPr>
          <w:p w14:paraId="39C1D696" w14:textId="6E09E81B" w:rsidR="00A07754" w:rsidRPr="001A14F5" w:rsidRDefault="00D01E98" w:rsidP="00DA353D">
            <w:pPr>
              <w:tabs>
                <w:tab w:val="clear" w:pos="360"/>
              </w:tabs>
              <w:suppressAutoHyphens w:val="0"/>
              <w:spacing w:line="259" w:lineRule="auto"/>
              <w:rPr>
                <w:rFonts w:ascii="Garamond" w:hAnsi="Garamond"/>
                <w:bCs/>
                <w:sz w:val="24"/>
              </w:rPr>
            </w:pPr>
            <w:r w:rsidRPr="00DA353D">
              <w:rPr>
                <w:rFonts w:ascii="Garamond" w:hAnsi="Garamond"/>
                <w:sz w:val="24"/>
              </w:rPr>
              <w:t>Joint IOUs, Joint CCAs, Shell, AReM/UC Regents, CleanPowerSF</w:t>
            </w:r>
            <w:r w:rsidR="00823FBA" w:rsidRPr="00DA353D">
              <w:rPr>
                <w:rFonts w:ascii="Garamond" w:hAnsi="Garamond"/>
                <w:sz w:val="24"/>
              </w:rPr>
              <w:t xml:space="preserve">, </w:t>
            </w:r>
            <w:r w:rsidRPr="00DA353D">
              <w:rPr>
                <w:rFonts w:ascii="Garamond" w:hAnsi="Garamond"/>
                <w:sz w:val="24"/>
              </w:rPr>
              <w:t>Public Advocates Office</w:t>
            </w:r>
            <w:r w:rsidR="00823FBA" w:rsidRPr="00DA353D">
              <w:rPr>
                <w:rFonts w:ascii="Garamond" w:hAnsi="Garamond"/>
                <w:sz w:val="24"/>
              </w:rPr>
              <w:t>, and CASMU</w:t>
            </w:r>
            <w:r w:rsidRPr="00DA353D">
              <w:rPr>
                <w:rFonts w:ascii="Garamond" w:hAnsi="Garamond"/>
                <w:sz w:val="24"/>
              </w:rPr>
              <w:t xml:space="preserve"> </w:t>
            </w:r>
            <w:r w:rsidR="00986273" w:rsidRPr="00DA353D">
              <w:rPr>
                <w:rFonts w:ascii="Garamond" w:hAnsi="Garamond"/>
                <w:sz w:val="24"/>
              </w:rPr>
              <w:t>argue that the Compliance Reports</w:t>
            </w:r>
            <w:r w:rsidRPr="00DA353D">
              <w:rPr>
                <w:rFonts w:ascii="Garamond" w:hAnsi="Garamond"/>
                <w:sz w:val="24"/>
              </w:rPr>
              <w:t xml:space="preserve"> should not include </w:t>
            </w:r>
            <w:r w:rsidR="00670E1A" w:rsidRPr="00DA353D">
              <w:rPr>
                <w:rFonts w:ascii="Garamond" w:hAnsi="Garamond"/>
                <w:sz w:val="24"/>
              </w:rPr>
              <w:t xml:space="preserve">historical compliance period </w:t>
            </w:r>
            <w:r w:rsidRPr="00DA353D">
              <w:rPr>
                <w:rFonts w:ascii="Garamond" w:hAnsi="Garamond"/>
                <w:sz w:val="24"/>
              </w:rPr>
              <w:t>data that has already been verified by the CPUC</w:t>
            </w:r>
            <w:r w:rsidR="00670E1A" w:rsidRPr="00DA353D">
              <w:rPr>
                <w:rFonts w:ascii="Garamond" w:hAnsi="Garamond"/>
                <w:sz w:val="24"/>
              </w:rPr>
              <w:t xml:space="preserve">. </w:t>
            </w:r>
          </w:p>
        </w:tc>
        <w:tc>
          <w:tcPr>
            <w:tcW w:w="4163" w:type="dxa"/>
            <w:tcBorders>
              <w:top w:val="single" w:sz="4" w:space="0" w:color="auto"/>
            </w:tcBorders>
            <w:shd w:val="clear" w:color="auto" w:fill="auto"/>
            <w:vAlign w:val="center"/>
          </w:tcPr>
          <w:p w14:paraId="5C521960" w14:textId="5D708215" w:rsidR="00A07754" w:rsidRPr="001A14F5" w:rsidRDefault="000E23E5" w:rsidP="00C02FD5">
            <w:pPr>
              <w:spacing w:after="120"/>
              <w:rPr>
                <w:rFonts w:ascii="Garamond" w:hAnsi="Garamond"/>
                <w:bCs/>
                <w:sz w:val="24"/>
              </w:rPr>
            </w:pPr>
            <w:r w:rsidRPr="001A14F5">
              <w:rPr>
                <w:rFonts w:ascii="Garamond" w:hAnsi="Garamond"/>
                <w:bCs/>
                <w:sz w:val="24"/>
              </w:rPr>
              <w:t>Staff has eliminated</w:t>
            </w:r>
            <w:r w:rsidR="009A5F56" w:rsidRPr="001A14F5">
              <w:rPr>
                <w:rFonts w:ascii="Garamond" w:hAnsi="Garamond"/>
                <w:bCs/>
                <w:sz w:val="24"/>
              </w:rPr>
              <w:t xml:space="preserve"> all</w:t>
            </w:r>
            <w:r w:rsidRPr="001A14F5">
              <w:rPr>
                <w:rFonts w:ascii="Garamond" w:hAnsi="Garamond"/>
                <w:bCs/>
                <w:sz w:val="24"/>
              </w:rPr>
              <w:t xml:space="preserve"> historical compliance period information in the Compliance Report template, with the exception of the Compliance Period 2 Excess Procurement Bank and 2014-2016 retail sales in the Unique Inputs tab.</w:t>
            </w:r>
          </w:p>
        </w:tc>
      </w:tr>
      <w:tr w:rsidR="00A86F3B" w:rsidRPr="001A14F5" w14:paraId="0403D477" w14:textId="77777777" w:rsidTr="00D22712">
        <w:trPr>
          <w:trHeight w:val="620"/>
        </w:trPr>
        <w:tc>
          <w:tcPr>
            <w:tcW w:w="2497" w:type="dxa"/>
            <w:shd w:val="clear" w:color="auto" w:fill="auto"/>
            <w:vAlign w:val="center"/>
          </w:tcPr>
          <w:p w14:paraId="17956827" w14:textId="3BE1B937" w:rsidR="00A07754" w:rsidRPr="001A14F5" w:rsidRDefault="00473439" w:rsidP="00C02FD5">
            <w:pPr>
              <w:spacing w:after="120"/>
              <w:rPr>
                <w:rFonts w:ascii="Garamond" w:hAnsi="Garamond"/>
                <w:bCs/>
                <w:sz w:val="24"/>
              </w:rPr>
            </w:pPr>
            <w:r w:rsidRPr="001A14F5">
              <w:rPr>
                <w:rFonts w:ascii="Garamond" w:hAnsi="Garamond"/>
                <w:bCs/>
                <w:sz w:val="24"/>
              </w:rPr>
              <w:t>Compliance Repor</w:t>
            </w:r>
            <w:r w:rsidR="0069486F" w:rsidRPr="001A14F5">
              <w:rPr>
                <w:rFonts w:ascii="Garamond" w:hAnsi="Garamond"/>
                <w:bCs/>
                <w:sz w:val="24"/>
              </w:rPr>
              <w:t>t Template</w:t>
            </w:r>
            <w:r w:rsidRPr="001A14F5">
              <w:rPr>
                <w:rFonts w:ascii="Garamond" w:hAnsi="Garamond"/>
                <w:bCs/>
                <w:sz w:val="24"/>
              </w:rPr>
              <w:t>: Contract Details</w:t>
            </w:r>
            <w:r w:rsidR="0069486F" w:rsidRPr="001A14F5">
              <w:rPr>
                <w:rFonts w:ascii="Garamond" w:hAnsi="Garamond"/>
                <w:bCs/>
                <w:sz w:val="24"/>
              </w:rPr>
              <w:t>, REC Retirements tabs</w:t>
            </w:r>
          </w:p>
        </w:tc>
        <w:tc>
          <w:tcPr>
            <w:tcW w:w="1338" w:type="dxa"/>
            <w:shd w:val="clear" w:color="auto" w:fill="auto"/>
            <w:noWrap/>
            <w:vAlign w:val="center"/>
          </w:tcPr>
          <w:p w14:paraId="59C964E0" w14:textId="5C46D008" w:rsidR="00A07754" w:rsidRPr="001A14F5" w:rsidRDefault="00473439" w:rsidP="00C02FD5">
            <w:pPr>
              <w:spacing w:after="120"/>
              <w:rPr>
                <w:rFonts w:ascii="Garamond" w:hAnsi="Garamond"/>
                <w:bCs/>
                <w:sz w:val="24"/>
              </w:rPr>
            </w:pPr>
            <w:r w:rsidRPr="001A14F5">
              <w:rPr>
                <w:rFonts w:ascii="Garamond" w:hAnsi="Garamond"/>
                <w:bCs/>
                <w:sz w:val="24"/>
              </w:rPr>
              <w:t xml:space="preserve">CleanPowerSF, Joint IOUs </w:t>
            </w:r>
          </w:p>
        </w:tc>
        <w:tc>
          <w:tcPr>
            <w:tcW w:w="3162" w:type="dxa"/>
            <w:shd w:val="clear" w:color="auto" w:fill="auto"/>
            <w:vAlign w:val="center"/>
          </w:tcPr>
          <w:p w14:paraId="1E2FD4DF" w14:textId="5792B745" w:rsidR="00A07754" w:rsidRPr="001A14F5" w:rsidRDefault="00473439" w:rsidP="00C02FD5">
            <w:pPr>
              <w:spacing w:after="120"/>
              <w:rPr>
                <w:rFonts w:ascii="Garamond" w:hAnsi="Garamond"/>
                <w:bCs/>
                <w:sz w:val="24"/>
              </w:rPr>
            </w:pPr>
            <w:r w:rsidRPr="00DA353D">
              <w:rPr>
                <w:rFonts w:ascii="Garamond" w:hAnsi="Garamond"/>
                <w:sz w:val="24"/>
              </w:rPr>
              <w:t xml:space="preserve">CleanPowerSF proposes that since RPS contract data is also collected through the IRP proceeding, a contract ID number should be added for RPS resources so the datasets can be joined. Joint IOUs do </w:t>
            </w:r>
            <w:r w:rsidRPr="00DA353D">
              <w:rPr>
                <w:rFonts w:ascii="Garamond" w:hAnsi="Garamond"/>
                <w:sz w:val="24"/>
              </w:rPr>
              <w:lastRenderedPageBreak/>
              <w:t xml:space="preserve">not object but defer to the IRP/RPS alignment process. </w:t>
            </w:r>
          </w:p>
        </w:tc>
        <w:tc>
          <w:tcPr>
            <w:tcW w:w="4163" w:type="dxa"/>
            <w:shd w:val="clear" w:color="auto" w:fill="auto"/>
            <w:vAlign w:val="center"/>
          </w:tcPr>
          <w:p w14:paraId="2C062D47" w14:textId="0BC51B7D" w:rsidR="00A07754" w:rsidRPr="001A14F5" w:rsidRDefault="00500776" w:rsidP="00C02FD5">
            <w:pPr>
              <w:spacing w:after="120"/>
              <w:rPr>
                <w:rFonts w:ascii="Garamond" w:hAnsi="Garamond"/>
                <w:bCs/>
                <w:sz w:val="24"/>
              </w:rPr>
            </w:pPr>
            <w:r>
              <w:rPr>
                <w:rFonts w:ascii="Garamond" w:hAnsi="Garamond"/>
                <w:bCs/>
                <w:sz w:val="24"/>
              </w:rPr>
              <w:lastRenderedPageBreak/>
              <w:t>A</w:t>
            </w:r>
            <w:r w:rsidR="003A2E55" w:rsidRPr="001A14F5">
              <w:rPr>
                <w:rFonts w:ascii="Garamond" w:hAnsi="Garamond"/>
                <w:bCs/>
                <w:sz w:val="24"/>
              </w:rPr>
              <w:t>n “RPS Contract ID” field</w:t>
            </w:r>
            <w:r>
              <w:rPr>
                <w:rFonts w:ascii="Garamond" w:hAnsi="Garamond"/>
                <w:bCs/>
                <w:sz w:val="24"/>
              </w:rPr>
              <w:t xml:space="preserve"> has been added</w:t>
            </w:r>
            <w:r w:rsidR="003A2E55" w:rsidRPr="001A14F5">
              <w:rPr>
                <w:rFonts w:ascii="Garamond" w:hAnsi="Garamond"/>
                <w:bCs/>
                <w:sz w:val="24"/>
              </w:rPr>
              <w:t xml:space="preserve"> to the Compliance Report template </w:t>
            </w:r>
            <w:r w:rsidR="0069486F" w:rsidRPr="001A14F5">
              <w:rPr>
                <w:rFonts w:ascii="Garamond" w:hAnsi="Garamond"/>
                <w:bCs/>
                <w:sz w:val="24"/>
              </w:rPr>
              <w:t xml:space="preserve">for retail sellers to </w:t>
            </w:r>
            <w:r w:rsidR="003A2E55" w:rsidRPr="001A14F5">
              <w:rPr>
                <w:rFonts w:ascii="Garamond" w:hAnsi="Garamond"/>
                <w:bCs/>
                <w:sz w:val="24"/>
              </w:rPr>
              <w:t>u</w:t>
            </w:r>
            <w:r w:rsidR="00F72122">
              <w:rPr>
                <w:rFonts w:ascii="Garamond" w:hAnsi="Garamond"/>
                <w:bCs/>
                <w:sz w:val="24"/>
              </w:rPr>
              <w:t>tilize</w:t>
            </w:r>
            <w:r w:rsidR="003A2E55" w:rsidRPr="001A14F5">
              <w:rPr>
                <w:rFonts w:ascii="Garamond" w:hAnsi="Garamond"/>
                <w:bCs/>
                <w:sz w:val="24"/>
              </w:rPr>
              <w:t xml:space="preserve"> a unique CP</w:t>
            </w:r>
            <w:r w:rsidR="00F72122">
              <w:rPr>
                <w:rFonts w:ascii="Garamond" w:hAnsi="Garamond"/>
                <w:bCs/>
                <w:sz w:val="24"/>
              </w:rPr>
              <w:t>UC</w:t>
            </w:r>
            <w:r w:rsidR="003A2E55" w:rsidRPr="001A14F5">
              <w:rPr>
                <w:rFonts w:ascii="Garamond" w:hAnsi="Garamond"/>
                <w:bCs/>
                <w:sz w:val="24"/>
              </w:rPr>
              <w:t xml:space="preserve"> ID number for the</w:t>
            </w:r>
            <w:r w:rsidR="00BF6976" w:rsidRPr="001A14F5">
              <w:rPr>
                <w:rFonts w:ascii="Garamond" w:hAnsi="Garamond"/>
                <w:bCs/>
                <w:sz w:val="24"/>
              </w:rPr>
              <w:t xml:space="preserve"> RPS </w:t>
            </w:r>
            <w:r w:rsidR="003A2E55" w:rsidRPr="001A14F5">
              <w:rPr>
                <w:rFonts w:ascii="Garamond" w:hAnsi="Garamond"/>
                <w:bCs/>
                <w:sz w:val="24"/>
              </w:rPr>
              <w:t xml:space="preserve">contracts reported. </w:t>
            </w:r>
            <w:r>
              <w:rPr>
                <w:rFonts w:ascii="Garamond" w:hAnsi="Garamond"/>
                <w:bCs/>
                <w:sz w:val="24"/>
              </w:rPr>
              <w:t>T</w:t>
            </w:r>
            <w:r w:rsidR="003A2E55" w:rsidRPr="001A14F5">
              <w:rPr>
                <w:rFonts w:ascii="Garamond" w:hAnsi="Garamond"/>
                <w:bCs/>
                <w:sz w:val="24"/>
              </w:rPr>
              <w:t>his</w:t>
            </w:r>
            <w:r w:rsidR="00BF6976" w:rsidRPr="001A14F5">
              <w:rPr>
                <w:rFonts w:ascii="Garamond" w:hAnsi="Garamond"/>
                <w:bCs/>
                <w:sz w:val="24"/>
              </w:rPr>
              <w:t xml:space="preserve"> RPS Contract ID number</w:t>
            </w:r>
            <w:r w:rsidR="003A2E55" w:rsidRPr="001A14F5">
              <w:rPr>
                <w:rFonts w:ascii="Garamond" w:hAnsi="Garamond"/>
                <w:bCs/>
                <w:sz w:val="24"/>
              </w:rPr>
              <w:t xml:space="preserve"> </w:t>
            </w:r>
            <w:r>
              <w:rPr>
                <w:rFonts w:ascii="Garamond" w:hAnsi="Garamond"/>
                <w:bCs/>
                <w:sz w:val="24"/>
              </w:rPr>
              <w:t xml:space="preserve">is </w:t>
            </w:r>
            <w:r w:rsidR="00840E4B">
              <w:rPr>
                <w:rFonts w:ascii="Garamond" w:hAnsi="Garamond"/>
                <w:bCs/>
                <w:sz w:val="24"/>
              </w:rPr>
              <w:t xml:space="preserve">the same as </w:t>
            </w:r>
            <w:r>
              <w:rPr>
                <w:rFonts w:ascii="Garamond" w:hAnsi="Garamond"/>
                <w:bCs/>
                <w:sz w:val="24"/>
              </w:rPr>
              <w:t>the one used</w:t>
            </w:r>
            <w:r w:rsidR="00840E4B">
              <w:rPr>
                <w:rFonts w:ascii="Garamond" w:hAnsi="Garamond"/>
                <w:bCs/>
                <w:sz w:val="24"/>
              </w:rPr>
              <w:t xml:space="preserve"> </w:t>
            </w:r>
            <w:r w:rsidR="00BF6976" w:rsidRPr="001A14F5">
              <w:rPr>
                <w:rFonts w:ascii="Garamond" w:hAnsi="Garamond"/>
                <w:bCs/>
                <w:sz w:val="24"/>
              </w:rPr>
              <w:t xml:space="preserve">monthly </w:t>
            </w:r>
            <w:r w:rsidR="003A2E55" w:rsidRPr="001A14F5">
              <w:rPr>
                <w:rFonts w:ascii="Garamond" w:hAnsi="Garamond"/>
                <w:bCs/>
                <w:sz w:val="24"/>
              </w:rPr>
              <w:t>RPS database submissions.</w:t>
            </w:r>
            <w:r w:rsidR="00BF6976" w:rsidRPr="001A14F5">
              <w:rPr>
                <w:rFonts w:ascii="Garamond" w:hAnsi="Garamond"/>
                <w:bCs/>
                <w:sz w:val="24"/>
              </w:rPr>
              <w:t xml:space="preserve"> See </w:t>
            </w:r>
            <w:r w:rsidR="00BF6976" w:rsidRPr="001A14F5">
              <w:rPr>
                <w:rFonts w:ascii="Garamond" w:hAnsi="Garamond"/>
                <w:bCs/>
                <w:sz w:val="24"/>
              </w:rPr>
              <w:lastRenderedPageBreak/>
              <w:t xml:space="preserve">pp. </w:t>
            </w:r>
            <w:r w:rsidR="00993BBE" w:rsidRPr="001A14F5">
              <w:rPr>
                <w:rFonts w:ascii="Garamond" w:hAnsi="Garamond"/>
                <w:bCs/>
                <w:sz w:val="24"/>
              </w:rPr>
              <w:t xml:space="preserve">6 of this handbook for more information on how to create the ID number. </w:t>
            </w:r>
          </w:p>
        </w:tc>
      </w:tr>
    </w:tbl>
    <w:p w14:paraId="4ED0F44F" w14:textId="77777777" w:rsidR="00C25DC3" w:rsidRPr="00DA353D" w:rsidRDefault="00C25DC3" w:rsidP="00C25DC3">
      <w:pPr>
        <w:spacing w:after="120"/>
        <w:jc w:val="center"/>
        <w:rPr>
          <w:rFonts w:ascii="Garamond" w:hAnsi="Garamond"/>
          <w:bCs/>
          <w:sz w:val="24"/>
        </w:rPr>
      </w:pPr>
    </w:p>
    <w:p w14:paraId="413956C9" w14:textId="77777777" w:rsidR="00C25DC3" w:rsidRPr="00DA353D" w:rsidRDefault="00C25DC3" w:rsidP="00C25DC3">
      <w:pPr>
        <w:spacing w:after="120"/>
        <w:jc w:val="center"/>
        <w:rPr>
          <w:rFonts w:ascii="Garamond" w:hAnsi="Garamond"/>
          <w:bCs/>
          <w:sz w:val="24"/>
        </w:rPr>
      </w:pPr>
    </w:p>
    <w:p w14:paraId="2024CF9F" w14:textId="77777777" w:rsidR="003C17BB" w:rsidRPr="00DA353D" w:rsidRDefault="003C17BB" w:rsidP="00C25DC3">
      <w:pPr>
        <w:spacing w:after="120"/>
        <w:jc w:val="center"/>
        <w:rPr>
          <w:rFonts w:ascii="Garamond" w:hAnsi="Garamond"/>
          <w:bCs/>
          <w:sz w:val="24"/>
        </w:rPr>
      </w:pPr>
    </w:p>
    <w:p w14:paraId="6CA6BCE8" w14:textId="77777777" w:rsidR="003C17BB" w:rsidRPr="00DA353D" w:rsidRDefault="003C17BB" w:rsidP="00C25DC3">
      <w:pPr>
        <w:spacing w:after="120"/>
        <w:jc w:val="center"/>
        <w:rPr>
          <w:rFonts w:ascii="Garamond" w:hAnsi="Garamond"/>
          <w:bCs/>
          <w:sz w:val="24"/>
        </w:rPr>
      </w:pPr>
    </w:p>
    <w:p w14:paraId="3DBD3D00" w14:textId="77777777" w:rsidR="003C17BB" w:rsidRPr="00DA353D" w:rsidRDefault="003C17BB" w:rsidP="00C25DC3">
      <w:pPr>
        <w:spacing w:after="120"/>
        <w:jc w:val="center"/>
        <w:rPr>
          <w:rFonts w:ascii="Garamond" w:hAnsi="Garamond"/>
          <w:bCs/>
          <w:sz w:val="24"/>
        </w:rPr>
      </w:pPr>
    </w:p>
    <w:p w14:paraId="0B8BCE2F" w14:textId="77777777" w:rsidR="003C17BB" w:rsidRPr="00DA353D" w:rsidRDefault="003C17BB" w:rsidP="00C25DC3">
      <w:pPr>
        <w:spacing w:after="120"/>
        <w:jc w:val="center"/>
        <w:rPr>
          <w:rFonts w:ascii="Garamond" w:hAnsi="Garamond"/>
          <w:bCs/>
          <w:sz w:val="24"/>
        </w:rPr>
      </w:pPr>
    </w:p>
    <w:p w14:paraId="59A493A9" w14:textId="6787D9DE" w:rsidR="003C17BB" w:rsidRDefault="003C17BB" w:rsidP="00C25DC3">
      <w:pPr>
        <w:spacing w:after="120"/>
        <w:jc w:val="center"/>
        <w:rPr>
          <w:rFonts w:ascii="Garamond" w:hAnsi="Garamond"/>
          <w:bCs/>
          <w:sz w:val="24"/>
        </w:rPr>
      </w:pPr>
    </w:p>
    <w:p w14:paraId="61BE022C" w14:textId="51663ABC" w:rsidR="00D22712" w:rsidRDefault="00D22712" w:rsidP="00C25DC3">
      <w:pPr>
        <w:spacing w:after="120"/>
        <w:jc w:val="center"/>
        <w:rPr>
          <w:rFonts w:ascii="Garamond" w:hAnsi="Garamond"/>
          <w:bCs/>
          <w:sz w:val="24"/>
        </w:rPr>
      </w:pPr>
    </w:p>
    <w:p w14:paraId="59E81596" w14:textId="37910CC9" w:rsidR="00D22712" w:rsidRDefault="00D22712" w:rsidP="00C25DC3">
      <w:pPr>
        <w:spacing w:after="120"/>
        <w:jc w:val="center"/>
        <w:rPr>
          <w:rFonts w:ascii="Garamond" w:hAnsi="Garamond"/>
          <w:bCs/>
          <w:sz w:val="24"/>
        </w:rPr>
      </w:pPr>
    </w:p>
    <w:p w14:paraId="52A44712" w14:textId="03476565" w:rsidR="00D22712" w:rsidRDefault="00D22712" w:rsidP="00C25DC3">
      <w:pPr>
        <w:spacing w:after="120"/>
        <w:jc w:val="center"/>
        <w:rPr>
          <w:rFonts w:ascii="Garamond" w:hAnsi="Garamond"/>
          <w:bCs/>
          <w:sz w:val="24"/>
        </w:rPr>
      </w:pPr>
    </w:p>
    <w:p w14:paraId="65097DB9" w14:textId="38291E97" w:rsidR="00D22712" w:rsidRDefault="00D22712" w:rsidP="00C25DC3">
      <w:pPr>
        <w:spacing w:after="120"/>
        <w:jc w:val="center"/>
        <w:rPr>
          <w:rFonts w:ascii="Garamond" w:hAnsi="Garamond"/>
          <w:bCs/>
          <w:sz w:val="24"/>
        </w:rPr>
      </w:pPr>
    </w:p>
    <w:p w14:paraId="1C87656B" w14:textId="114A7631" w:rsidR="00D22712" w:rsidRDefault="00D22712" w:rsidP="00C25DC3">
      <w:pPr>
        <w:spacing w:after="120"/>
        <w:jc w:val="center"/>
        <w:rPr>
          <w:rFonts w:ascii="Garamond" w:hAnsi="Garamond"/>
          <w:bCs/>
          <w:sz w:val="24"/>
        </w:rPr>
      </w:pPr>
    </w:p>
    <w:p w14:paraId="70A4F1BE" w14:textId="02DAEBDB" w:rsidR="00D22712" w:rsidRDefault="00D22712" w:rsidP="00C25DC3">
      <w:pPr>
        <w:spacing w:after="120"/>
        <w:jc w:val="center"/>
        <w:rPr>
          <w:rFonts w:ascii="Garamond" w:hAnsi="Garamond"/>
          <w:bCs/>
          <w:sz w:val="24"/>
        </w:rPr>
      </w:pPr>
    </w:p>
    <w:p w14:paraId="2396DE58" w14:textId="6DDC88C5" w:rsidR="00D22712" w:rsidRDefault="00D22712" w:rsidP="00C25DC3">
      <w:pPr>
        <w:spacing w:after="120"/>
        <w:jc w:val="center"/>
        <w:rPr>
          <w:rFonts w:ascii="Garamond" w:hAnsi="Garamond"/>
          <w:bCs/>
          <w:sz w:val="24"/>
        </w:rPr>
      </w:pPr>
    </w:p>
    <w:p w14:paraId="4077E441" w14:textId="527C60A9" w:rsidR="00D22712" w:rsidRDefault="00D22712" w:rsidP="00C25DC3">
      <w:pPr>
        <w:spacing w:after="120"/>
        <w:jc w:val="center"/>
        <w:rPr>
          <w:rFonts w:ascii="Garamond" w:hAnsi="Garamond"/>
          <w:bCs/>
          <w:sz w:val="24"/>
        </w:rPr>
      </w:pPr>
    </w:p>
    <w:p w14:paraId="08952570" w14:textId="5CC9FEB2" w:rsidR="00D22712" w:rsidRDefault="00D22712" w:rsidP="00C25DC3">
      <w:pPr>
        <w:spacing w:after="120"/>
        <w:jc w:val="center"/>
        <w:rPr>
          <w:rFonts w:ascii="Garamond" w:hAnsi="Garamond"/>
          <w:bCs/>
          <w:sz w:val="24"/>
        </w:rPr>
      </w:pPr>
    </w:p>
    <w:p w14:paraId="4C3CD7AB" w14:textId="552A8F44" w:rsidR="00D22712" w:rsidRDefault="00D22712" w:rsidP="00C25DC3">
      <w:pPr>
        <w:spacing w:after="120"/>
        <w:jc w:val="center"/>
        <w:rPr>
          <w:rFonts w:ascii="Garamond" w:hAnsi="Garamond"/>
          <w:bCs/>
          <w:sz w:val="24"/>
        </w:rPr>
      </w:pPr>
    </w:p>
    <w:p w14:paraId="5CC6FCDE" w14:textId="58DFB055" w:rsidR="00D22712" w:rsidRDefault="00D22712" w:rsidP="00C25DC3">
      <w:pPr>
        <w:spacing w:after="120"/>
        <w:jc w:val="center"/>
        <w:rPr>
          <w:rFonts w:ascii="Garamond" w:hAnsi="Garamond"/>
          <w:bCs/>
          <w:sz w:val="24"/>
        </w:rPr>
      </w:pPr>
    </w:p>
    <w:p w14:paraId="187C84FF" w14:textId="7C06F57D" w:rsidR="00D22712" w:rsidRDefault="00D22712" w:rsidP="00C25DC3">
      <w:pPr>
        <w:spacing w:after="120"/>
        <w:jc w:val="center"/>
        <w:rPr>
          <w:rFonts w:ascii="Garamond" w:hAnsi="Garamond"/>
          <w:bCs/>
          <w:sz w:val="24"/>
        </w:rPr>
      </w:pPr>
    </w:p>
    <w:p w14:paraId="3204A7DC" w14:textId="77A868AD" w:rsidR="00D22712" w:rsidRDefault="00D22712" w:rsidP="00C25DC3">
      <w:pPr>
        <w:spacing w:after="120"/>
        <w:jc w:val="center"/>
        <w:rPr>
          <w:rFonts w:ascii="Garamond" w:hAnsi="Garamond"/>
          <w:bCs/>
          <w:sz w:val="24"/>
        </w:rPr>
      </w:pPr>
    </w:p>
    <w:p w14:paraId="12C4B92D" w14:textId="20009E6F" w:rsidR="00D22712" w:rsidRDefault="00D22712" w:rsidP="00C25DC3">
      <w:pPr>
        <w:spacing w:after="120"/>
        <w:jc w:val="center"/>
        <w:rPr>
          <w:rFonts w:ascii="Garamond" w:hAnsi="Garamond"/>
          <w:bCs/>
          <w:sz w:val="24"/>
        </w:rPr>
      </w:pPr>
    </w:p>
    <w:p w14:paraId="52CACCCF" w14:textId="491FFBCA" w:rsidR="00D22712" w:rsidRDefault="00D22712" w:rsidP="00C25DC3">
      <w:pPr>
        <w:spacing w:after="120"/>
        <w:jc w:val="center"/>
        <w:rPr>
          <w:rFonts w:ascii="Garamond" w:hAnsi="Garamond"/>
          <w:bCs/>
          <w:sz w:val="24"/>
        </w:rPr>
      </w:pPr>
    </w:p>
    <w:p w14:paraId="6B0B3F02" w14:textId="297D2CA2" w:rsidR="00D22712" w:rsidRDefault="00D22712" w:rsidP="00C25DC3">
      <w:pPr>
        <w:spacing w:after="120"/>
        <w:jc w:val="center"/>
        <w:rPr>
          <w:rFonts w:ascii="Garamond" w:hAnsi="Garamond"/>
          <w:bCs/>
          <w:sz w:val="24"/>
        </w:rPr>
      </w:pPr>
    </w:p>
    <w:p w14:paraId="422614E6" w14:textId="77777777" w:rsidR="00D22712" w:rsidRPr="00DA353D" w:rsidRDefault="00D22712" w:rsidP="00C25DC3">
      <w:pPr>
        <w:spacing w:after="120"/>
        <w:jc w:val="center"/>
        <w:rPr>
          <w:rFonts w:ascii="Garamond" w:hAnsi="Garamond"/>
          <w:bCs/>
          <w:sz w:val="24"/>
        </w:rPr>
      </w:pPr>
    </w:p>
    <w:p w14:paraId="7D3B13F5" w14:textId="77777777" w:rsidR="003C17BB" w:rsidRPr="00DA353D" w:rsidRDefault="003C17BB" w:rsidP="00DA353D">
      <w:pPr>
        <w:spacing w:after="120"/>
        <w:rPr>
          <w:rFonts w:ascii="Garamond" w:hAnsi="Garamond"/>
          <w:bCs/>
          <w:sz w:val="24"/>
        </w:rPr>
      </w:pPr>
    </w:p>
    <w:p w14:paraId="107837F3" w14:textId="23BC45E8" w:rsidR="00C25DC3" w:rsidRPr="00FC0D23" w:rsidRDefault="00C25DC3" w:rsidP="00DA353D">
      <w:pPr>
        <w:pStyle w:val="Heading1"/>
      </w:pPr>
      <w:bookmarkStart w:id="55" w:name="_Toc40196459"/>
      <w:r w:rsidRPr="00FC0D23">
        <w:lastRenderedPageBreak/>
        <w:t xml:space="preserve">Appendix </w:t>
      </w:r>
      <w:r w:rsidR="003C17BB" w:rsidRPr="00FC0D23">
        <w:t>C</w:t>
      </w:r>
      <w:r w:rsidR="00A07754" w:rsidRPr="00FC0D23">
        <w:t xml:space="preserve">: </w:t>
      </w:r>
      <w:r w:rsidRPr="00FC0D23">
        <w:t>Additional Information About Dynamic Transfers</w:t>
      </w:r>
      <w:bookmarkEnd w:id="55"/>
    </w:p>
    <w:p w14:paraId="6F071860" w14:textId="7968FD8D" w:rsidR="00C25DC3" w:rsidRPr="003201D7" w:rsidRDefault="00C25DC3" w:rsidP="00C25DC3">
      <w:pPr>
        <w:spacing w:after="120"/>
        <w:rPr>
          <w:rFonts w:ascii="Garamond" w:hAnsi="Garamond"/>
          <w:b/>
          <w:sz w:val="24"/>
        </w:rPr>
      </w:pPr>
      <w:r w:rsidRPr="003201D7">
        <w:rPr>
          <w:rFonts w:ascii="Garamond" w:hAnsi="Garamond"/>
          <w:b/>
          <w:sz w:val="24"/>
        </w:rPr>
        <w:t>Energy Division Rational</w:t>
      </w:r>
      <w:r w:rsidR="006A7388" w:rsidRPr="003201D7">
        <w:rPr>
          <w:rFonts w:ascii="Garamond" w:hAnsi="Garamond"/>
          <w:b/>
          <w:sz w:val="24"/>
        </w:rPr>
        <w:t>e</w:t>
      </w:r>
      <w:r w:rsidRPr="003201D7">
        <w:rPr>
          <w:rFonts w:ascii="Garamond" w:hAnsi="Garamond"/>
          <w:b/>
          <w:sz w:val="24"/>
        </w:rPr>
        <w:t xml:space="preserve"> for Separating Dynamic Transfers into Two Categories: Pseudo Ties and Dynamic Transfers</w:t>
      </w:r>
    </w:p>
    <w:p w14:paraId="7E3F166E" w14:textId="701B9BBB" w:rsidR="00C25DC3" w:rsidRPr="0080220E" w:rsidRDefault="00C25DC3" w:rsidP="00C25DC3">
      <w:pPr>
        <w:spacing w:after="120"/>
        <w:rPr>
          <w:rFonts w:ascii="Garamond" w:hAnsi="Garamond"/>
          <w:bCs/>
          <w:sz w:val="24"/>
        </w:rPr>
      </w:pPr>
      <w:r w:rsidRPr="0080220E">
        <w:rPr>
          <w:rFonts w:ascii="Garamond" w:hAnsi="Garamond"/>
          <w:bCs/>
          <w:sz w:val="24"/>
        </w:rPr>
        <w:t>In the first version of the staff proposal</w:t>
      </w:r>
      <w:r w:rsidR="00483C65">
        <w:rPr>
          <w:rFonts w:ascii="Garamond" w:hAnsi="Garamond"/>
          <w:bCs/>
          <w:sz w:val="24"/>
        </w:rPr>
        <w:t>,</w:t>
      </w:r>
      <w:r w:rsidRPr="0080220E">
        <w:rPr>
          <w:rFonts w:ascii="Garamond" w:hAnsi="Garamond"/>
          <w:bCs/>
          <w:sz w:val="24"/>
        </w:rPr>
        <w:t xml:space="preserve"> Energy Division proposed that all dynamic transfer agreements should be subjected to an hourly meter/e-Tag analysis to ensure the metered energy was entering a CBA.  This methodology was met with some opposition from retail sellers who noted that the CEC </w:t>
      </w:r>
      <w:r w:rsidR="00483C65">
        <w:rPr>
          <w:rFonts w:ascii="Garamond" w:hAnsi="Garamond"/>
          <w:bCs/>
          <w:sz w:val="24"/>
        </w:rPr>
        <w:t>G</w:t>
      </w:r>
      <w:r w:rsidRPr="0080220E">
        <w:rPr>
          <w:rFonts w:ascii="Garamond" w:hAnsi="Garamond"/>
          <w:bCs/>
          <w:sz w:val="24"/>
        </w:rPr>
        <w:t>uidebook allows RECs from procurement contracts with dynamic transfer agreements to be verified through the same process as an “in-state resource”- i.e. Energy Commission policy allows staff to verify the dynamic transfer agreements without an hourly meter/e-Tag analysis.</w:t>
      </w:r>
    </w:p>
    <w:p w14:paraId="554C6808" w14:textId="6714974B" w:rsidR="00C25DC3" w:rsidRPr="0080220E" w:rsidRDefault="00C25DC3" w:rsidP="00C25DC3">
      <w:pPr>
        <w:spacing w:after="120"/>
        <w:rPr>
          <w:rFonts w:ascii="Garamond" w:hAnsi="Garamond"/>
          <w:bCs/>
          <w:sz w:val="24"/>
        </w:rPr>
      </w:pPr>
      <w:r w:rsidRPr="0080220E">
        <w:rPr>
          <w:rFonts w:ascii="Garamond" w:hAnsi="Garamond"/>
          <w:bCs/>
          <w:sz w:val="24"/>
        </w:rPr>
        <w:t>Energy Division consulted with R.11-05-005 stakeholders and with the ISO to determine if PCC</w:t>
      </w:r>
      <w:r w:rsidR="003B0510">
        <w:rPr>
          <w:rFonts w:ascii="Garamond" w:hAnsi="Garamond"/>
          <w:bCs/>
          <w:sz w:val="24"/>
        </w:rPr>
        <w:t xml:space="preserve"> </w:t>
      </w:r>
      <w:r w:rsidRPr="0080220E">
        <w:rPr>
          <w:rFonts w:ascii="Garamond" w:hAnsi="Garamond"/>
          <w:bCs/>
          <w:sz w:val="24"/>
        </w:rPr>
        <w:t xml:space="preserve">1 claims that use dynamic transfers to deliver electricity into a CBA required the review of hourly e-Tag information and meter data. Consequently, Energy Division staff have determined that there are two distinct types of dynamic transfers that each merit special treatment. </w:t>
      </w:r>
    </w:p>
    <w:p w14:paraId="6F3FCE4D" w14:textId="1CD6774A" w:rsidR="00C25DC3" w:rsidRPr="0080220E" w:rsidRDefault="00C25DC3" w:rsidP="00C25DC3">
      <w:pPr>
        <w:spacing w:after="120"/>
        <w:rPr>
          <w:rFonts w:ascii="Garamond" w:hAnsi="Garamond"/>
          <w:bCs/>
          <w:sz w:val="24"/>
        </w:rPr>
      </w:pPr>
      <w:r w:rsidRPr="0080220E">
        <w:rPr>
          <w:rFonts w:ascii="Garamond" w:hAnsi="Garamond"/>
          <w:bCs/>
          <w:sz w:val="24"/>
        </w:rPr>
        <w:t xml:space="preserve">The first type of dynamic transfer agreement that can be used to deliver electricity into a CBA is a pseudo tie agreement. Pseudo-ties are a special type of inter-balancing authority transaction whereby a generator that physically resides outside the contiguous boundaries of a CBA is linked to a CBA so that the point transfer for the generation is analogous to a direct interconnection to the CBA.  Under a pseudo tie </w:t>
      </w:r>
      <w:r w:rsidR="00D22712" w:rsidRPr="0080220E">
        <w:rPr>
          <w:rFonts w:ascii="Garamond" w:hAnsi="Garamond"/>
          <w:bCs/>
          <w:sz w:val="24"/>
        </w:rPr>
        <w:t>agreement,</w:t>
      </w:r>
      <w:r w:rsidRPr="0080220E">
        <w:rPr>
          <w:rFonts w:ascii="Garamond" w:hAnsi="Garamond"/>
          <w:bCs/>
          <w:sz w:val="24"/>
        </w:rPr>
        <w:t xml:space="preserve"> the CBA assumes </w:t>
      </w:r>
      <w:r w:rsidRPr="0080220E">
        <w:rPr>
          <w:rFonts w:ascii="Garamond" w:hAnsi="Garamond"/>
          <w:bCs/>
          <w:sz w:val="24"/>
          <w:u w:val="single"/>
        </w:rPr>
        <w:t>all</w:t>
      </w:r>
      <w:r w:rsidRPr="0080220E">
        <w:rPr>
          <w:rFonts w:ascii="Garamond" w:hAnsi="Garamond"/>
          <w:bCs/>
          <w:sz w:val="24"/>
        </w:rPr>
        <w:t xml:space="preserve"> responsibilities as scheduling coordinator for the facility. </w:t>
      </w:r>
    </w:p>
    <w:p w14:paraId="7DDA402D" w14:textId="2E72691C" w:rsidR="00C25DC3" w:rsidRPr="0080220E" w:rsidRDefault="00C25DC3" w:rsidP="00C25DC3">
      <w:pPr>
        <w:spacing w:after="120"/>
        <w:rPr>
          <w:rFonts w:ascii="Garamond" w:hAnsi="Garamond"/>
          <w:bCs/>
          <w:sz w:val="24"/>
        </w:rPr>
      </w:pPr>
      <w:r w:rsidRPr="0080220E">
        <w:rPr>
          <w:rFonts w:ascii="Garamond" w:hAnsi="Garamond"/>
          <w:bCs/>
          <w:sz w:val="24"/>
        </w:rPr>
        <w:t xml:space="preserve">The second type of dynamic transfer agreement that can be </w:t>
      </w:r>
      <w:r w:rsidR="003201D7" w:rsidRPr="0080220E">
        <w:rPr>
          <w:rFonts w:ascii="Garamond" w:hAnsi="Garamond"/>
          <w:bCs/>
          <w:sz w:val="24"/>
        </w:rPr>
        <w:t>used to</w:t>
      </w:r>
      <w:r w:rsidRPr="0080220E">
        <w:rPr>
          <w:rFonts w:ascii="Garamond" w:hAnsi="Garamond"/>
          <w:bCs/>
          <w:sz w:val="24"/>
        </w:rPr>
        <w:t xml:space="preserve"> deliver electricity into a CBA is a dynamic scheduling agreement.  Dynamic Scheduling occurs when two balancing authorities are linked, allowing them to request and acknowledge desired schedule changes and is able to dynamically transmit a revised schedule as changes (planned or unplanned) in energy production or demand occur. With a dynamic schedule </w:t>
      </w:r>
      <w:r w:rsidR="00D22712" w:rsidRPr="0080220E">
        <w:rPr>
          <w:rFonts w:ascii="Garamond" w:hAnsi="Garamond"/>
          <w:bCs/>
          <w:sz w:val="24"/>
        </w:rPr>
        <w:t>agreement,</w:t>
      </w:r>
      <w:r w:rsidRPr="0080220E">
        <w:rPr>
          <w:rFonts w:ascii="Garamond" w:hAnsi="Garamond"/>
          <w:bCs/>
          <w:sz w:val="24"/>
        </w:rPr>
        <w:t xml:space="preserve"> the CBA </w:t>
      </w:r>
      <w:r w:rsidRPr="0080220E">
        <w:rPr>
          <w:rFonts w:ascii="Garamond" w:hAnsi="Garamond"/>
          <w:bCs/>
          <w:sz w:val="24"/>
          <w:u w:val="single"/>
        </w:rPr>
        <w:t>does not</w:t>
      </w:r>
      <w:r w:rsidRPr="0080220E">
        <w:rPr>
          <w:rFonts w:ascii="Garamond" w:hAnsi="Garamond"/>
          <w:bCs/>
          <w:sz w:val="24"/>
        </w:rPr>
        <w:t xml:space="preserve"> assume </w:t>
      </w:r>
      <w:r w:rsidR="00D22712" w:rsidRPr="0080220E">
        <w:rPr>
          <w:rFonts w:ascii="Garamond" w:hAnsi="Garamond"/>
          <w:bCs/>
          <w:sz w:val="24"/>
        </w:rPr>
        <w:t>a</w:t>
      </w:r>
      <w:r w:rsidRPr="0080220E">
        <w:rPr>
          <w:rFonts w:ascii="Garamond" w:hAnsi="Garamond"/>
          <w:bCs/>
          <w:sz w:val="24"/>
        </w:rPr>
        <w:t xml:space="preserve"> responsibility as the scheduling coordinator for the facility, and electricity will only reach a CBA if the retail seller, the generator, or a third party is responsible for scheduling the electricity into the CBA. Consequently, the RPS eligible electricity will not actually reach the CBA unless the energy is scheduled.</w:t>
      </w:r>
    </w:p>
    <w:p w14:paraId="38DD073E" w14:textId="33232AC1" w:rsidR="00C25DC3" w:rsidRPr="0080220E" w:rsidRDefault="00C25DC3" w:rsidP="00C25DC3">
      <w:pPr>
        <w:spacing w:after="120"/>
        <w:rPr>
          <w:rFonts w:ascii="Garamond" w:hAnsi="Garamond"/>
          <w:bCs/>
          <w:sz w:val="24"/>
        </w:rPr>
      </w:pPr>
      <w:r w:rsidRPr="0080220E">
        <w:rPr>
          <w:rFonts w:ascii="Garamond" w:hAnsi="Garamond"/>
          <w:bCs/>
          <w:sz w:val="24"/>
        </w:rPr>
        <w:t xml:space="preserve">Therefore, Energy Division staff has determined that a </w:t>
      </w:r>
      <w:r w:rsidR="003B0510">
        <w:rPr>
          <w:rFonts w:ascii="Garamond" w:hAnsi="Garamond"/>
          <w:bCs/>
          <w:sz w:val="24"/>
        </w:rPr>
        <w:t>P</w:t>
      </w:r>
      <w:r w:rsidRPr="0080220E">
        <w:rPr>
          <w:rFonts w:ascii="Garamond" w:hAnsi="Garamond"/>
          <w:bCs/>
          <w:sz w:val="24"/>
        </w:rPr>
        <w:t xml:space="preserve">seudo </w:t>
      </w:r>
      <w:r w:rsidR="003B0510">
        <w:rPr>
          <w:rFonts w:ascii="Garamond" w:hAnsi="Garamond"/>
          <w:bCs/>
          <w:sz w:val="24"/>
        </w:rPr>
        <w:t>T</w:t>
      </w:r>
      <w:r w:rsidRPr="0080220E">
        <w:rPr>
          <w:rFonts w:ascii="Garamond" w:hAnsi="Garamond"/>
          <w:bCs/>
          <w:sz w:val="24"/>
        </w:rPr>
        <w:t xml:space="preserve">ie </w:t>
      </w:r>
      <w:r w:rsidR="003B0510">
        <w:rPr>
          <w:rFonts w:ascii="Garamond" w:hAnsi="Garamond"/>
          <w:bCs/>
          <w:sz w:val="24"/>
        </w:rPr>
        <w:t>A</w:t>
      </w:r>
      <w:r w:rsidRPr="0080220E">
        <w:rPr>
          <w:rFonts w:ascii="Garamond" w:hAnsi="Garamond"/>
          <w:bCs/>
          <w:sz w:val="24"/>
        </w:rPr>
        <w:t>greement demonstrates sufficient interconnection to a CBA</w:t>
      </w:r>
      <w:r w:rsidR="003B0510">
        <w:rPr>
          <w:rFonts w:ascii="Garamond" w:hAnsi="Garamond"/>
          <w:bCs/>
          <w:sz w:val="24"/>
        </w:rPr>
        <w:t>, and</w:t>
      </w:r>
      <w:r w:rsidRPr="0080220E">
        <w:rPr>
          <w:rFonts w:ascii="Garamond" w:hAnsi="Garamond"/>
          <w:bCs/>
          <w:sz w:val="24"/>
        </w:rPr>
        <w:t xml:space="preserve"> an hourly meter/e-Tag analysis is not necessary. Dynamic </w:t>
      </w:r>
      <w:r w:rsidR="003B0510">
        <w:rPr>
          <w:rFonts w:ascii="Garamond" w:hAnsi="Garamond"/>
          <w:bCs/>
          <w:sz w:val="24"/>
        </w:rPr>
        <w:t>S</w:t>
      </w:r>
      <w:r w:rsidRPr="0080220E">
        <w:rPr>
          <w:rFonts w:ascii="Garamond" w:hAnsi="Garamond"/>
          <w:bCs/>
          <w:sz w:val="24"/>
        </w:rPr>
        <w:t>chedule agreements, however, do not delegate scheduling coordinator responsibilities to the CBA of delivery and require the RPS eligible electricity to be scheduled into CBA by the retail seller (or other third party). Consequently, Energy Division staff must perform an hourly meter/e-Tag analysis for all dynamically scheduled PCC 1 claims to ensure the RPS eligible electricity is properly scheduled into a CBA.</w:t>
      </w:r>
    </w:p>
    <w:p w14:paraId="47645DC5" w14:textId="7963BC37" w:rsidR="00515FA6" w:rsidRPr="0080220E" w:rsidRDefault="00C25DC3">
      <w:pPr>
        <w:rPr>
          <w:rFonts w:ascii="Garamond" w:hAnsi="Garamond"/>
          <w:bCs/>
          <w:sz w:val="24"/>
        </w:rPr>
      </w:pPr>
      <w:r w:rsidRPr="0080220E">
        <w:rPr>
          <w:rFonts w:ascii="Garamond" w:hAnsi="Garamond"/>
          <w:bCs/>
          <w:sz w:val="24"/>
          <w:u w:val="single"/>
        </w:rPr>
        <w:t xml:space="preserve">As the use of pseudo ties and dynamic schedules evolve, additional forms of documentation may be required for Energy Division staff’s review. </w:t>
      </w:r>
      <w:r w:rsidR="003201D7">
        <w:rPr>
          <w:rStyle w:val="FootnoteReference"/>
          <w:rFonts w:ascii="Garamond" w:hAnsi="Garamond"/>
          <w:bCs/>
          <w:sz w:val="24"/>
          <w:u w:val="single"/>
        </w:rPr>
        <w:footnoteReference w:id="22"/>
      </w:r>
    </w:p>
    <w:sectPr w:rsidR="00515FA6" w:rsidRPr="0080220E" w:rsidSect="00515FA6">
      <w:footerReference w:type="default" r:id="rId2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A0AA7" w14:textId="77777777" w:rsidR="00C50866" w:rsidRDefault="00C50866" w:rsidP="00C25DC3">
      <w:pPr>
        <w:spacing w:after="0"/>
      </w:pPr>
      <w:r>
        <w:separator/>
      </w:r>
    </w:p>
  </w:endnote>
  <w:endnote w:type="continuationSeparator" w:id="0">
    <w:p w14:paraId="6A71095F" w14:textId="77777777" w:rsidR="00C50866" w:rsidRDefault="00C50866" w:rsidP="00C25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0705" w14:textId="77777777" w:rsidR="00A60BAB" w:rsidRDefault="00A60BAB">
    <w:pPr>
      <w:pStyle w:val="Footer"/>
      <w:jc w:val="center"/>
    </w:pPr>
    <w:r>
      <w:fldChar w:fldCharType="begin"/>
    </w:r>
    <w:r>
      <w:instrText xml:space="preserve"> PAGE   \* MERGEFORMAT </w:instrText>
    </w:r>
    <w:r>
      <w:fldChar w:fldCharType="separate"/>
    </w:r>
    <w:r>
      <w:rPr>
        <w:noProof/>
      </w:rPr>
      <w:t>16</w:t>
    </w:r>
    <w:r>
      <w:fldChar w:fldCharType="end"/>
    </w:r>
  </w:p>
  <w:p w14:paraId="21381A8B" w14:textId="77777777" w:rsidR="00A60BAB" w:rsidRDefault="00A6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858A" w14:textId="77777777" w:rsidR="00A60BAB" w:rsidRDefault="00A60BAB">
    <w:pPr>
      <w:pStyle w:val="Footer"/>
      <w:jc w:val="center"/>
    </w:pPr>
    <w:r>
      <w:fldChar w:fldCharType="begin"/>
    </w:r>
    <w:r>
      <w:instrText xml:space="preserve"> PAGE   \* MERGEFORMAT </w:instrText>
    </w:r>
    <w:r>
      <w:fldChar w:fldCharType="separate"/>
    </w:r>
    <w:r>
      <w:rPr>
        <w:noProof/>
      </w:rPr>
      <w:t>22</w:t>
    </w:r>
    <w:r>
      <w:rPr>
        <w:noProof/>
      </w:rPr>
      <w:fldChar w:fldCharType="end"/>
    </w:r>
  </w:p>
  <w:p w14:paraId="3222E783" w14:textId="77777777" w:rsidR="00A60BAB" w:rsidRDefault="00A6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F711B" w14:textId="77777777" w:rsidR="00C50866" w:rsidRDefault="00C50866" w:rsidP="00C25DC3">
      <w:pPr>
        <w:spacing w:after="0"/>
      </w:pPr>
      <w:r>
        <w:separator/>
      </w:r>
    </w:p>
  </w:footnote>
  <w:footnote w:type="continuationSeparator" w:id="0">
    <w:p w14:paraId="1FA68641" w14:textId="77777777" w:rsidR="00C50866" w:rsidRDefault="00C50866" w:rsidP="00C25DC3">
      <w:pPr>
        <w:spacing w:after="0"/>
      </w:pPr>
      <w:r>
        <w:continuationSeparator/>
      </w:r>
    </w:p>
  </w:footnote>
  <w:footnote w:id="1">
    <w:p w14:paraId="6F19F348" w14:textId="1BD46D05"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Retail sellers include investor-owned utilities (IOUs), electric service providers (ESPs), and community choice aggregators (CCAs).</w:t>
      </w:r>
    </w:p>
  </w:footnote>
  <w:footnote w:id="2">
    <w:p w14:paraId="403D32CF" w14:textId="23192E4F"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Assembly Bill (AB) 2187 (Bradford), Stats. 2012, Ch. 604.</w:t>
      </w:r>
    </w:p>
  </w:footnote>
  <w:footnote w:id="3">
    <w:p w14:paraId="7F5C9CA9" w14:textId="59C04043" w:rsidR="00A60BAB" w:rsidRPr="00DA353D" w:rsidRDefault="0029240E" w:rsidP="00C02FD5">
      <w:pPr>
        <w:pStyle w:val="FootnoteText"/>
        <w:rPr>
          <w:rFonts w:ascii="Garamond" w:hAnsi="Garamond"/>
          <w:sz w:val="20"/>
          <w:szCs w:val="20"/>
        </w:rPr>
      </w:pPr>
      <w:r>
        <w:rPr>
          <w:rStyle w:val="FootnoteReference"/>
        </w:rPr>
        <w:footnoteRef/>
      </w:r>
      <w:r>
        <w:rPr>
          <w:rFonts w:ascii="Garamond" w:hAnsi="Garamond"/>
          <w:sz w:val="20"/>
          <w:szCs w:val="20"/>
        </w:rPr>
        <w:t xml:space="preserve"> </w:t>
      </w:r>
      <w:r w:rsidR="002813E1">
        <w:rPr>
          <w:rFonts w:ascii="Garamond" w:hAnsi="Garamond"/>
          <w:sz w:val="20"/>
          <w:szCs w:val="20"/>
        </w:rPr>
        <w:t xml:space="preserve">See the CAISO’s Dynamic Transfer page for more information: </w:t>
      </w:r>
      <w:hyperlink r:id="rId1" w:history="1">
        <w:r w:rsidR="005B5F87" w:rsidRPr="00D5164F">
          <w:rPr>
            <w:rStyle w:val="Hyperlink"/>
            <w:rFonts w:ascii="Garamond" w:hAnsi="Garamond"/>
            <w:sz w:val="20"/>
            <w:szCs w:val="20"/>
          </w:rPr>
          <w:t>http://www.caiso.com/participate/Pages/DynamicTransfers/Default.aspx</w:t>
        </w:r>
      </w:hyperlink>
      <w:r w:rsidR="005B5F87">
        <w:rPr>
          <w:rFonts w:ascii="Garamond" w:hAnsi="Garamond"/>
          <w:sz w:val="20"/>
          <w:szCs w:val="20"/>
        </w:rPr>
        <w:t xml:space="preserve"> </w:t>
      </w:r>
    </w:p>
  </w:footnote>
  <w:footnote w:id="4">
    <w:p w14:paraId="5A8610BD" w14:textId="3C11328E" w:rsidR="008E1BDE" w:rsidRDefault="008E1BDE">
      <w:pPr>
        <w:pStyle w:val="FootnoteText"/>
      </w:pPr>
      <w:r>
        <w:rPr>
          <w:rStyle w:val="FootnoteReference"/>
        </w:rPr>
        <w:footnoteRef/>
      </w:r>
      <w:r>
        <w:t xml:space="preserve"> </w:t>
      </w:r>
      <w:r w:rsidRPr="00DA353D">
        <w:rPr>
          <w:rFonts w:ascii="Garamond" w:hAnsi="Garamond"/>
          <w:sz w:val="20"/>
          <w:szCs w:val="20"/>
        </w:rPr>
        <w:t>Retire means to commit a renewable energy credit tracked in the WREGIS tracking system for compliance with the RPS program.</w:t>
      </w:r>
    </w:p>
  </w:footnote>
  <w:footnote w:id="5">
    <w:p w14:paraId="6E3E0EB2"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See D.12-06-038 for more information on the Final Compliance Report process and the CEC’s verification website for more information: </w:t>
      </w:r>
      <w:hyperlink r:id="rId2" w:history="1">
        <w:r w:rsidRPr="00DA353D">
          <w:rPr>
            <w:rStyle w:val="Hyperlink"/>
            <w:rFonts w:ascii="Garamond" w:hAnsi="Garamond"/>
            <w:sz w:val="20"/>
            <w:szCs w:val="20"/>
          </w:rPr>
          <w:t>https://www.energy.ca.gov/portfolio/documents/rps_verification_retailsellers.html</w:t>
        </w:r>
      </w:hyperlink>
      <w:r w:rsidRPr="00DA353D">
        <w:rPr>
          <w:rFonts w:ascii="Garamond" w:hAnsi="Garamond"/>
          <w:sz w:val="20"/>
          <w:szCs w:val="20"/>
        </w:rPr>
        <w:t xml:space="preserve"> </w:t>
      </w:r>
    </w:p>
  </w:footnote>
  <w:footnote w:id="6">
    <w:p w14:paraId="5DC6AAD0"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WREGIS e-Tag Reports are generated through the WREGIS website. For additional information on WREGIS e-Tags Reports and how to submit this information to Energy Division, please reference the </w:t>
      </w:r>
      <w:hyperlink r:id="rId3" w:history="1">
        <w:r w:rsidRPr="00DA353D">
          <w:rPr>
            <w:rStyle w:val="Hyperlink"/>
            <w:rFonts w:ascii="Garamond" w:hAnsi="Garamond"/>
            <w:sz w:val="20"/>
            <w:szCs w:val="20"/>
          </w:rPr>
          <w:t>CEC Guidebook 9</w:t>
        </w:r>
        <w:r w:rsidRPr="00DA353D">
          <w:rPr>
            <w:rStyle w:val="Hyperlink"/>
            <w:rFonts w:ascii="Garamond" w:hAnsi="Garamond"/>
            <w:sz w:val="20"/>
            <w:szCs w:val="20"/>
            <w:vertAlign w:val="superscript"/>
          </w:rPr>
          <w:t>th</w:t>
        </w:r>
        <w:r w:rsidRPr="00DA353D">
          <w:rPr>
            <w:rStyle w:val="Hyperlink"/>
            <w:rFonts w:ascii="Garamond" w:hAnsi="Garamond"/>
            <w:sz w:val="20"/>
            <w:szCs w:val="20"/>
          </w:rPr>
          <w:t xml:space="preserve"> Edition</w:t>
        </w:r>
      </w:hyperlink>
      <w:r w:rsidRPr="00DA353D">
        <w:rPr>
          <w:rFonts w:ascii="Garamond" w:hAnsi="Garamond"/>
          <w:sz w:val="20"/>
          <w:szCs w:val="20"/>
        </w:rPr>
        <w:t>.</w:t>
      </w:r>
    </w:p>
  </w:footnote>
  <w:footnote w:id="7">
    <w:p w14:paraId="2993D9FC"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WREGIS Compliance Reports are generated through the WREGIS website. For additional information on WREGIS Compliance Reports and how to submit this information to Energy Division, please reference the </w:t>
      </w:r>
      <w:hyperlink r:id="rId4" w:history="1">
        <w:r w:rsidRPr="00DA353D">
          <w:rPr>
            <w:rStyle w:val="Hyperlink"/>
            <w:rFonts w:ascii="Garamond" w:hAnsi="Garamond"/>
            <w:sz w:val="20"/>
            <w:szCs w:val="20"/>
          </w:rPr>
          <w:t>CEC Guidebook 9</w:t>
        </w:r>
        <w:r w:rsidRPr="00DA353D">
          <w:rPr>
            <w:rStyle w:val="Hyperlink"/>
            <w:rFonts w:ascii="Garamond" w:hAnsi="Garamond"/>
            <w:sz w:val="20"/>
            <w:szCs w:val="20"/>
            <w:vertAlign w:val="superscript"/>
          </w:rPr>
          <w:t>th</w:t>
        </w:r>
        <w:r w:rsidRPr="00DA353D">
          <w:rPr>
            <w:rStyle w:val="Hyperlink"/>
            <w:rFonts w:ascii="Garamond" w:hAnsi="Garamond"/>
            <w:sz w:val="20"/>
            <w:szCs w:val="20"/>
          </w:rPr>
          <w:t xml:space="preserve"> Edition</w:t>
        </w:r>
      </w:hyperlink>
      <w:r w:rsidRPr="00DA353D">
        <w:rPr>
          <w:rFonts w:ascii="Garamond" w:hAnsi="Garamond"/>
          <w:sz w:val="20"/>
          <w:szCs w:val="20"/>
        </w:rPr>
        <w:t>.</w:t>
      </w:r>
    </w:p>
  </w:footnote>
  <w:footnote w:id="8">
    <w:p w14:paraId="281E6C05"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Annual Compliance Report spreadsheet templates can be found on the CPUC </w:t>
      </w:r>
      <w:hyperlink r:id="rId5" w:history="1">
        <w:r w:rsidRPr="00DA353D">
          <w:rPr>
            <w:rStyle w:val="Hyperlink"/>
            <w:rFonts w:ascii="Garamond" w:hAnsi="Garamond"/>
            <w:sz w:val="20"/>
            <w:szCs w:val="20"/>
          </w:rPr>
          <w:t>RPS website</w:t>
        </w:r>
      </w:hyperlink>
      <w:r w:rsidRPr="00DA353D">
        <w:rPr>
          <w:rFonts w:ascii="Garamond" w:hAnsi="Garamond"/>
          <w:sz w:val="20"/>
          <w:szCs w:val="20"/>
        </w:rPr>
        <w:t>, under the “RPS Compliance &amp; Reporting” header.</w:t>
      </w:r>
    </w:p>
  </w:footnote>
  <w:footnote w:id="9">
    <w:p w14:paraId="24B1B616" w14:textId="4A38A351"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For the IOUs (PG&amp;E, SCE and SDG&amp;E) various fields listed here are analogous to the fields reported in the RPS Database “Monthly Submittal” file. </w:t>
      </w:r>
    </w:p>
  </w:footnote>
  <w:footnote w:id="10">
    <w:p w14:paraId="4A5EEB71" w14:textId="549DD96B" w:rsidR="00A60BAB" w:rsidRPr="000966C3" w:rsidRDefault="00A60BAB" w:rsidP="000966C3">
      <w:pPr>
        <w:tabs>
          <w:tab w:val="clear" w:pos="360"/>
        </w:tabs>
        <w:suppressAutoHyphens w:val="0"/>
        <w:spacing w:after="0"/>
        <w:rPr>
          <w:rFonts w:ascii="Times New Roman" w:eastAsia="Times New Roman" w:hAnsi="Times New Roman"/>
        </w:rPr>
      </w:pPr>
      <w:r>
        <w:rPr>
          <w:rStyle w:val="FootnoteReference"/>
        </w:rPr>
        <w:footnoteRef/>
      </w:r>
      <w:r>
        <w:t xml:space="preserve"> </w:t>
      </w:r>
      <w:hyperlink r:id="rId6" w:history="1">
        <w:r w:rsidRPr="000966C3">
          <w:rPr>
            <w:rStyle w:val="Hyperlink"/>
            <w:rFonts w:ascii="Garamond" w:hAnsi="Garamond"/>
          </w:rPr>
          <w:t>https://rps.energy.ca.gov/Pages/Search/SearchApplications.aspx</w:t>
        </w:r>
      </w:hyperlink>
    </w:p>
  </w:footnote>
  <w:footnote w:id="11">
    <w:p w14:paraId="4A8D966F" w14:textId="7C5580D8" w:rsidR="00A60BAB" w:rsidRDefault="00A60BAB">
      <w:pPr>
        <w:pStyle w:val="FootnoteText"/>
      </w:pPr>
      <w:r>
        <w:rPr>
          <w:rStyle w:val="FootnoteReference"/>
        </w:rPr>
        <w:footnoteRef/>
      </w:r>
      <w:r>
        <w:t xml:space="preserve"> </w:t>
      </w:r>
      <w:r>
        <w:rPr>
          <w:rFonts w:ascii="Garamond" w:hAnsi="Garamond"/>
          <w:bCs/>
          <w:sz w:val="24"/>
        </w:rPr>
        <w:t>Retail sellers</w:t>
      </w:r>
      <w:r w:rsidRPr="00B61C68">
        <w:rPr>
          <w:rFonts w:ascii="Garamond" w:hAnsi="Garamond"/>
          <w:bCs/>
          <w:sz w:val="24"/>
        </w:rPr>
        <w:t xml:space="preserve"> may provide the AL associated with the latest contract amendment, if applicable, and not the AL that approved the original contract.</w:t>
      </w:r>
    </w:p>
  </w:footnote>
  <w:footnote w:id="12">
    <w:p w14:paraId="031C4A25"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Including contracts with generating resources that have dynamic transfer agreements.</w:t>
      </w:r>
    </w:p>
  </w:footnote>
  <w:footnote w:id="13">
    <w:p w14:paraId="33AE043C"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Rules and information related to CAISO’s dynamic transfer tariffs is provided in this proposal document. </w:t>
      </w:r>
      <w:hyperlink r:id="rId7" w:history="1">
        <w:r w:rsidRPr="00DA353D">
          <w:rPr>
            <w:rStyle w:val="Hyperlink"/>
            <w:rFonts w:ascii="Garamond" w:hAnsi="Garamond"/>
            <w:sz w:val="20"/>
            <w:szCs w:val="20"/>
          </w:rPr>
          <w:t>Dynamic Transfers Final Proposal</w:t>
        </w:r>
      </w:hyperlink>
      <w:r w:rsidRPr="00DA353D">
        <w:rPr>
          <w:rFonts w:ascii="Garamond" w:hAnsi="Garamond"/>
          <w:sz w:val="20"/>
          <w:szCs w:val="20"/>
        </w:rPr>
        <w:t xml:space="preserve"> (May 2011) </w:t>
      </w:r>
    </w:p>
  </w:footnote>
  <w:footnote w:id="14">
    <w:p w14:paraId="35E5377B"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D.11-12-052, Ordering Paragraph 1</w:t>
      </w:r>
    </w:p>
  </w:footnote>
  <w:footnote w:id="15">
    <w:p w14:paraId="358E40AD"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Retail sellers are required to document all e-Tags through either the WREGIS e-Tag Summary Report, or RPS Hourly e-Tag Summary Report for e-Tags that are not reported through WREGIS. Retail sellers do not need to report an e-Tag in both reports.</w:t>
      </w:r>
    </w:p>
  </w:footnote>
  <w:footnote w:id="16">
    <w:p w14:paraId="2D540244"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The North American Electric Reliability Corporation (NERC) is the entity responsible for the implementation of the electricity tagging process. An e-Tag is an electronic record that contains the details of a transaction to transfer electricity from a seller to a buyer where the electricity is scheduled for transmission across one or more balancing authority area boundaries.</w:t>
      </w:r>
    </w:p>
  </w:footnote>
  <w:footnote w:id="17">
    <w:p w14:paraId="0AE7C73E"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CA RPS Hourly e-Tag Summary Report spreadsheet templates can be found on the CPUC </w:t>
      </w:r>
      <w:hyperlink r:id="rId8" w:history="1">
        <w:r w:rsidRPr="00DA353D">
          <w:rPr>
            <w:rStyle w:val="Hyperlink"/>
            <w:rFonts w:ascii="Garamond" w:hAnsi="Garamond"/>
            <w:sz w:val="20"/>
            <w:szCs w:val="20"/>
          </w:rPr>
          <w:t>RPS website</w:t>
        </w:r>
      </w:hyperlink>
      <w:r w:rsidRPr="00DA353D">
        <w:rPr>
          <w:rFonts w:ascii="Garamond" w:hAnsi="Garamond"/>
          <w:sz w:val="20"/>
          <w:szCs w:val="20"/>
        </w:rPr>
        <w:t>, under the “Recent Documents/Updates” header.</w:t>
      </w:r>
    </w:p>
  </w:footnote>
  <w:footnote w:id="18">
    <w:p w14:paraId="78D35582" w14:textId="77777777" w:rsidR="00A60BAB" w:rsidRPr="00DA353D" w:rsidRDefault="00A60BAB" w:rsidP="00DA353D">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A retail seller may enter up to four decimal points when populating the “Used MWh” field.  The four decimal points account for accumulated kWh that are associated with a given e-Tag. Typically, these kWh would be rounded down to the nearest MWh, however, Energy Division staff have decided to allow retail sellers to include the additional kWh when reporting their e-Tags.</w:t>
      </w:r>
    </w:p>
  </w:footnote>
  <w:footnote w:id="19">
    <w:p w14:paraId="5E846113"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Energy Division staff understand that some retail sellers have RPS contracts to purchase a fixed volume of RPS generation, per hour, as opposed to a percentage share of the facilities per hour output.  Consequently, Energy Division staff have included an extra tab within the Hourly Meter and e-Tag Reconciliation Report spreadsheet (the “Fixed Volume Calculation” tab) for retail sellers to calculate a percentage share value for fixed volume RPS contracts.</w:t>
      </w:r>
    </w:p>
  </w:footnote>
  <w:footnote w:id="20">
    <w:p w14:paraId="178CF1B1" w14:textId="6B64448D"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The latest edition of the California Energy Commission RPS Eligibility Guidebook can be found here: </w:t>
      </w:r>
      <w:hyperlink r:id="rId9" w:history="1">
        <w:r w:rsidRPr="00DA353D">
          <w:rPr>
            <w:rStyle w:val="Hyperlink"/>
            <w:rFonts w:ascii="Garamond" w:hAnsi="Garamond"/>
            <w:sz w:val="20"/>
            <w:szCs w:val="20"/>
          </w:rPr>
          <w:t>https://www.energy.ca.gov/programs-and-topics/programs/renewables-portfolio-standard/renewables-portfolio-standard-0</w:t>
        </w:r>
      </w:hyperlink>
      <w:r w:rsidRPr="00DA353D">
        <w:rPr>
          <w:rFonts w:ascii="Garamond" w:hAnsi="Garamond"/>
          <w:sz w:val="20"/>
          <w:szCs w:val="20"/>
        </w:rPr>
        <w:t xml:space="preserve"> </w:t>
      </w:r>
    </w:p>
  </w:footnote>
  <w:footnote w:id="21">
    <w:p w14:paraId="1520DA56" w14:textId="77777777" w:rsidR="00A60BAB" w:rsidRPr="00DA353D" w:rsidRDefault="00A60BAB" w:rsidP="00C02FD5">
      <w:pPr>
        <w:pStyle w:val="FootnoteText"/>
        <w:rPr>
          <w:rFonts w:ascii="Garamond" w:hAnsi="Garamond"/>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Pursuant to D.12-06-038 the Director of Energy Division has the authority to grant an extension to the annual compliance filing. </w:t>
      </w:r>
    </w:p>
  </w:footnote>
  <w:footnote w:id="22">
    <w:p w14:paraId="4CCC8EF6" w14:textId="63EDB97D" w:rsidR="00A60BAB" w:rsidRPr="00DA353D" w:rsidRDefault="00A60BAB" w:rsidP="00DA353D">
      <w:pPr>
        <w:spacing w:after="120"/>
        <w:rPr>
          <w:rFonts w:ascii="Garamond" w:hAnsi="Garamond"/>
          <w:bCs/>
          <w:sz w:val="20"/>
          <w:szCs w:val="20"/>
        </w:rPr>
      </w:pPr>
      <w:r w:rsidRPr="00DA353D">
        <w:rPr>
          <w:rStyle w:val="FootnoteReference"/>
          <w:rFonts w:ascii="Garamond" w:hAnsi="Garamond"/>
          <w:sz w:val="20"/>
          <w:szCs w:val="20"/>
        </w:rPr>
        <w:footnoteRef/>
      </w:r>
      <w:r w:rsidRPr="00DA353D">
        <w:rPr>
          <w:rFonts w:ascii="Garamond" w:hAnsi="Garamond"/>
          <w:sz w:val="20"/>
          <w:szCs w:val="20"/>
        </w:rPr>
        <w:t xml:space="preserve"> </w:t>
      </w:r>
      <w:r w:rsidRPr="00DA353D">
        <w:rPr>
          <w:rFonts w:ascii="Garamond" w:hAnsi="Garamond"/>
          <w:bCs/>
          <w:sz w:val="20"/>
          <w:szCs w:val="20"/>
        </w:rPr>
        <w:t xml:space="preserve">See the CAISO’s Dynamic Transfers page </w:t>
      </w:r>
      <w:hyperlink r:id="rId10" w:history="1">
        <w:r w:rsidRPr="00DA353D">
          <w:rPr>
            <w:rStyle w:val="Hyperlink"/>
            <w:rFonts w:ascii="Garamond" w:hAnsi="Garamond"/>
            <w:bCs/>
            <w:sz w:val="20"/>
            <w:szCs w:val="20"/>
          </w:rPr>
          <w:t>http://www.caiso.com/participate/Pages/DynamicTransfers/Default.aspx</w:t>
        </w:r>
      </w:hyperlink>
      <w:r w:rsidRPr="00DA353D">
        <w:rPr>
          <w:rFonts w:ascii="Garamond" w:hAnsi="Garamond"/>
          <w:bCs/>
          <w:sz w:val="20"/>
          <w:szCs w:val="20"/>
        </w:rPr>
        <w:t xml:space="preserve"> and the Process Guidelines page </w:t>
      </w:r>
      <w:hyperlink r:id="rId11" w:history="1">
        <w:r w:rsidRPr="00DA353D">
          <w:rPr>
            <w:rStyle w:val="Hyperlink"/>
            <w:rFonts w:ascii="Garamond" w:hAnsi="Garamond"/>
            <w:bCs/>
            <w:sz w:val="20"/>
            <w:szCs w:val="20"/>
            <w:u w:val="none"/>
          </w:rPr>
          <w:t>http://www.caiso.com/Documents/Process_Guidlines-DynamicTransfers.pdf</w:t>
        </w:r>
      </w:hyperlink>
      <w:r w:rsidRPr="00DA353D">
        <w:rPr>
          <w:rFonts w:ascii="Garamond" w:hAnsi="Garamond"/>
          <w:bCs/>
          <w:sz w:val="20"/>
          <w:szCs w:val="20"/>
        </w:rPr>
        <w:t xml:space="preserve"> for more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D6E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49A54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45EA2"/>
    <w:multiLevelType w:val="hybridMultilevel"/>
    <w:tmpl w:val="35AE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95550"/>
    <w:multiLevelType w:val="hybridMultilevel"/>
    <w:tmpl w:val="C88E7C0E"/>
    <w:lvl w:ilvl="0" w:tplc="84809C6E">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64CB"/>
    <w:multiLevelType w:val="hybridMultilevel"/>
    <w:tmpl w:val="AC4A3A7C"/>
    <w:lvl w:ilvl="0" w:tplc="1F9C2EB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08A39ED"/>
    <w:multiLevelType w:val="hybridMultilevel"/>
    <w:tmpl w:val="E63652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01AE8"/>
    <w:multiLevelType w:val="hybridMultilevel"/>
    <w:tmpl w:val="FD36B1E0"/>
    <w:lvl w:ilvl="0" w:tplc="23B2BC86">
      <w:start w:val="5"/>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B16AB8"/>
    <w:multiLevelType w:val="hybridMultilevel"/>
    <w:tmpl w:val="E58CA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452056"/>
    <w:multiLevelType w:val="hybridMultilevel"/>
    <w:tmpl w:val="68D6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5AF4"/>
    <w:multiLevelType w:val="hybridMultilevel"/>
    <w:tmpl w:val="A48C2AC2"/>
    <w:lvl w:ilvl="0" w:tplc="A07E7CFC">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36651"/>
    <w:multiLevelType w:val="hybridMultilevel"/>
    <w:tmpl w:val="49A22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168C7"/>
    <w:multiLevelType w:val="hybridMultilevel"/>
    <w:tmpl w:val="B92697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C5BA9"/>
    <w:multiLevelType w:val="hybridMultilevel"/>
    <w:tmpl w:val="6CA0B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56398C"/>
    <w:multiLevelType w:val="hybridMultilevel"/>
    <w:tmpl w:val="D4D0C9A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AC187A"/>
    <w:multiLevelType w:val="hybridMultilevel"/>
    <w:tmpl w:val="60E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C3610"/>
    <w:multiLevelType w:val="hybridMultilevel"/>
    <w:tmpl w:val="8C28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251285"/>
    <w:multiLevelType w:val="hybridMultilevel"/>
    <w:tmpl w:val="6402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D14E6"/>
    <w:multiLevelType w:val="hybridMultilevel"/>
    <w:tmpl w:val="FB60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E29DF"/>
    <w:multiLevelType w:val="hybridMultilevel"/>
    <w:tmpl w:val="FB96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71"/>
    <w:multiLevelType w:val="hybridMultilevel"/>
    <w:tmpl w:val="188C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C4DF2"/>
    <w:multiLevelType w:val="hybridMultilevel"/>
    <w:tmpl w:val="8DB84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428E8"/>
    <w:multiLevelType w:val="hybridMultilevel"/>
    <w:tmpl w:val="FE98ACAC"/>
    <w:lvl w:ilvl="0" w:tplc="07B038C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94B42116">
      <w:start w:val="1505"/>
      <w:numFmt w:val="bullet"/>
      <w:lvlText w:val=""/>
      <w:lvlJc w:val="left"/>
      <w:pPr>
        <w:tabs>
          <w:tab w:val="num" w:pos="2160"/>
        </w:tabs>
        <w:ind w:left="2160" w:hanging="360"/>
      </w:pPr>
      <w:rPr>
        <w:rFonts w:ascii="Wingdings" w:hAnsi="Wingdings" w:hint="default"/>
      </w:rPr>
    </w:lvl>
    <w:lvl w:ilvl="3" w:tplc="D28E40A4" w:tentative="1">
      <w:start w:val="1"/>
      <w:numFmt w:val="decimal"/>
      <w:lvlText w:val="%4."/>
      <w:lvlJc w:val="left"/>
      <w:pPr>
        <w:tabs>
          <w:tab w:val="num" w:pos="2880"/>
        </w:tabs>
        <w:ind w:left="2880" w:hanging="360"/>
      </w:pPr>
    </w:lvl>
    <w:lvl w:ilvl="4" w:tplc="2CE48050" w:tentative="1">
      <w:start w:val="1"/>
      <w:numFmt w:val="decimal"/>
      <w:lvlText w:val="%5."/>
      <w:lvlJc w:val="left"/>
      <w:pPr>
        <w:tabs>
          <w:tab w:val="num" w:pos="3600"/>
        </w:tabs>
        <w:ind w:left="3600" w:hanging="360"/>
      </w:pPr>
    </w:lvl>
    <w:lvl w:ilvl="5" w:tplc="F6BE719A" w:tentative="1">
      <w:start w:val="1"/>
      <w:numFmt w:val="decimal"/>
      <w:lvlText w:val="%6."/>
      <w:lvlJc w:val="left"/>
      <w:pPr>
        <w:tabs>
          <w:tab w:val="num" w:pos="4320"/>
        </w:tabs>
        <w:ind w:left="4320" w:hanging="360"/>
      </w:pPr>
    </w:lvl>
    <w:lvl w:ilvl="6" w:tplc="BFFE0778" w:tentative="1">
      <w:start w:val="1"/>
      <w:numFmt w:val="decimal"/>
      <w:lvlText w:val="%7."/>
      <w:lvlJc w:val="left"/>
      <w:pPr>
        <w:tabs>
          <w:tab w:val="num" w:pos="5040"/>
        </w:tabs>
        <w:ind w:left="5040" w:hanging="360"/>
      </w:pPr>
    </w:lvl>
    <w:lvl w:ilvl="7" w:tplc="F278998C" w:tentative="1">
      <w:start w:val="1"/>
      <w:numFmt w:val="decimal"/>
      <w:lvlText w:val="%8."/>
      <w:lvlJc w:val="left"/>
      <w:pPr>
        <w:tabs>
          <w:tab w:val="num" w:pos="5760"/>
        </w:tabs>
        <w:ind w:left="5760" w:hanging="360"/>
      </w:pPr>
    </w:lvl>
    <w:lvl w:ilvl="8" w:tplc="13226AA2" w:tentative="1">
      <w:start w:val="1"/>
      <w:numFmt w:val="decimal"/>
      <w:lvlText w:val="%9."/>
      <w:lvlJc w:val="left"/>
      <w:pPr>
        <w:tabs>
          <w:tab w:val="num" w:pos="6480"/>
        </w:tabs>
        <w:ind w:left="6480" w:hanging="360"/>
      </w:pPr>
    </w:lvl>
  </w:abstractNum>
  <w:abstractNum w:abstractNumId="22" w15:restartNumberingAfterBreak="0">
    <w:nsid w:val="3E8D6EB7"/>
    <w:multiLevelType w:val="hybridMultilevel"/>
    <w:tmpl w:val="6E18F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A49EB"/>
    <w:multiLevelType w:val="hybridMultilevel"/>
    <w:tmpl w:val="DCFC4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C6A94"/>
    <w:multiLevelType w:val="hybridMultilevel"/>
    <w:tmpl w:val="DD40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65F40"/>
    <w:multiLevelType w:val="hybridMultilevel"/>
    <w:tmpl w:val="B008A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53287"/>
    <w:multiLevelType w:val="hybridMultilevel"/>
    <w:tmpl w:val="5322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43"/>
    <w:multiLevelType w:val="hybridMultilevel"/>
    <w:tmpl w:val="C5DE63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F0D2D"/>
    <w:multiLevelType w:val="hybridMultilevel"/>
    <w:tmpl w:val="3606D9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3535781"/>
    <w:multiLevelType w:val="hybridMultilevel"/>
    <w:tmpl w:val="0C02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3E06CA"/>
    <w:multiLevelType w:val="hybridMultilevel"/>
    <w:tmpl w:val="8E42156C"/>
    <w:lvl w:ilvl="0" w:tplc="4E6E66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600D1"/>
    <w:multiLevelType w:val="hybridMultilevel"/>
    <w:tmpl w:val="4D7859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B6BDC"/>
    <w:multiLevelType w:val="hybridMultilevel"/>
    <w:tmpl w:val="67D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F1330"/>
    <w:multiLevelType w:val="multilevel"/>
    <w:tmpl w:val="DE4CA3B0"/>
    <w:lvl w:ilvl="0">
      <w:start w:val="1"/>
      <w:numFmt w:val="upperRoman"/>
      <w:pStyle w:val="Heading1"/>
      <w:lvlText w:val="%1."/>
      <w:lvlJc w:val="left"/>
      <w:pPr>
        <w:tabs>
          <w:tab w:val="num" w:pos="0"/>
        </w:tabs>
        <w:ind w:left="360"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360" w:hanging="360"/>
      </w:pPr>
      <w:rPr>
        <w:rFonts w:hint="default"/>
      </w:rPr>
    </w:lvl>
    <w:lvl w:ilvl="3">
      <w:start w:val="1"/>
      <w:numFmt w:val="lowerLetter"/>
      <w:pStyle w:val="Heading4"/>
      <w:lvlText w:val="%4."/>
      <w:lvlJc w:val="left"/>
      <w:pPr>
        <w:tabs>
          <w:tab w:val="num" w:pos="0"/>
        </w:tabs>
        <w:ind w:left="360" w:hanging="360"/>
      </w:pPr>
      <w:rPr>
        <w:rFonts w:hint="default"/>
      </w:rPr>
    </w:lvl>
    <w:lvl w:ilvl="4">
      <w:start w:val="1"/>
      <w:numFmt w:val="decimal"/>
      <w:pStyle w:val="Heading5"/>
      <w:lvlText w:val="%5)"/>
      <w:lvlJc w:val="left"/>
      <w:pPr>
        <w:tabs>
          <w:tab w:val="num" w:pos="360"/>
        </w:tabs>
        <w:ind w:left="720" w:hanging="360"/>
      </w:pPr>
      <w:rPr>
        <w:rFonts w:hint="default"/>
      </w:rPr>
    </w:lvl>
    <w:lvl w:ilvl="5">
      <w:start w:val="1"/>
      <w:numFmt w:val="lowerLetter"/>
      <w:pStyle w:val="Heading6"/>
      <w:lvlText w:val="%6)"/>
      <w:lvlJc w:val="left"/>
      <w:pPr>
        <w:ind w:left="720" w:hanging="360"/>
      </w:pPr>
      <w:rPr>
        <w:rFonts w:hint="default"/>
      </w:rPr>
    </w:lvl>
    <w:lvl w:ilvl="6">
      <w:start w:val="1"/>
      <w:numFmt w:val="decimal"/>
      <w:pStyle w:val="Heading7"/>
      <w:lvlText w:val="%7)"/>
      <w:lvlJc w:val="left"/>
      <w:pPr>
        <w:ind w:left="720" w:hanging="360"/>
      </w:pPr>
      <w:rPr>
        <w:rFonts w:hint="default"/>
      </w:rPr>
    </w:lvl>
    <w:lvl w:ilvl="7">
      <w:start w:val="1"/>
      <w:numFmt w:val="lowerLetter"/>
      <w:pStyle w:val="Heading8"/>
      <w:lvlText w:val="%8)"/>
      <w:lvlJc w:val="left"/>
      <w:pPr>
        <w:ind w:left="720" w:hanging="360"/>
      </w:pPr>
      <w:rPr>
        <w:rFonts w:hint="default"/>
      </w:rPr>
    </w:lvl>
    <w:lvl w:ilvl="8">
      <w:start w:val="1"/>
      <w:numFmt w:val="lowerRoman"/>
      <w:pStyle w:val="Heading9"/>
      <w:lvlText w:val="(%9)"/>
      <w:lvlJc w:val="left"/>
      <w:pPr>
        <w:ind w:left="1080" w:hanging="360"/>
      </w:pPr>
      <w:rPr>
        <w:rFonts w:hint="default"/>
      </w:rPr>
    </w:lvl>
  </w:abstractNum>
  <w:abstractNum w:abstractNumId="34" w15:restartNumberingAfterBreak="0">
    <w:nsid w:val="63172C73"/>
    <w:multiLevelType w:val="hybridMultilevel"/>
    <w:tmpl w:val="0B54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B7F94"/>
    <w:multiLevelType w:val="hybridMultilevel"/>
    <w:tmpl w:val="1A1AD77C"/>
    <w:lvl w:ilvl="0" w:tplc="5C66387C">
      <w:start w:val="1"/>
      <w:numFmt w:val="upperLetter"/>
      <w:lvlText w:val="%1."/>
      <w:lvlJc w:val="left"/>
      <w:pPr>
        <w:ind w:left="2790" w:hanging="360"/>
      </w:pPr>
      <w:rPr>
        <w:rFonts w:hint="default"/>
        <w:b w:val="0"/>
        <w:sz w:val="24"/>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15:restartNumberingAfterBreak="0">
    <w:nsid w:val="673828B0"/>
    <w:multiLevelType w:val="hybridMultilevel"/>
    <w:tmpl w:val="1E4EF8D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794751"/>
    <w:multiLevelType w:val="hybridMultilevel"/>
    <w:tmpl w:val="72B6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7A4FF2"/>
    <w:multiLevelType w:val="hybridMultilevel"/>
    <w:tmpl w:val="053051FC"/>
    <w:lvl w:ilvl="0" w:tplc="305479D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12D27"/>
    <w:multiLevelType w:val="hybridMultilevel"/>
    <w:tmpl w:val="BDB8E506"/>
    <w:lvl w:ilvl="0" w:tplc="04090001">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A6C5D9A"/>
    <w:multiLevelType w:val="hybridMultilevel"/>
    <w:tmpl w:val="336E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067F9"/>
    <w:multiLevelType w:val="hybridMultilevel"/>
    <w:tmpl w:val="929C0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9"/>
  </w:num>
  <w:num w:numId="3">
    <w:abstractNumId w:val="21"/>
  </w:num>
  <w:num w:numId="4">
    <w:abstractNumId w:val="11"/>
  </w:num>
  <w:num w:numId="5">
    <w:abstractNumId w:val="2"/>
  </w:num>
  <w:num w:numId="6">
    <w:abstractNumId w:val="13"/>
  </w:num>
  <w:num w:numId="7">
    <w:abstractNumId w:val="26"/>
  </w:num>
  <w:num w:numId="8">
    <w:abstractNumId w:val="19"/>
  </w:num>
  <w:num w:numId="9">
    <w:abstractNumId w:val="33"/>
  </w:num>
  <w:num w:numId="10">
    <w:abstractNumId w:val="23"/>
  </w:num>
  <w:num w:numId="11">
    <w:abstractNumId w:val="25"/>
  </w:num>
  <w:num w:numId="12">
    <w:abstractNumId w:val="8"/>
  </w:num>
  <w:num w:numId="13">
    <w:abstractNumId w:val="41"/>
  </w:num>
  <w:num w:numId="14">
    <w:abstractNumId w:val="20"/>
  </w:num>
  <w:num w:numId="15">
    <w:abstractNumId w:val="22"/>
  </w:num>
  <w:num w:numId="16">
    <w:abstractNumId w:val="17"/>
  </w:num>
  <w:num w:numId="17">
    <w:abstractNumId w:val="0"/>
  </w:num>
  <w:num w:numId="18">
    <w:abstractNumId w:val="32"/>
  </w:num>
  <w:num w:numId="19">
    <w:abstractNumId w:val="31"/>
  </w:num>
  <w:num w:numId="20">
    <w:abstractNumId w:val="24"/>
  </w:num>
  <w:num w:numId="21">
    <w:abstractNumId w:val="9"/>
  </w:num>
  <w:num w:numId="22">
    <w:abstractNumId w:val="38"/>
  </w:num>
  <w:num w:numId="23">
    <w:abstractNumId w:val="10"/>
  </w:num>
  <w:num w:numId="24">
    <w:abstractNumId w:val="3"/>
  </w:num>
  <w:num w:numId="25">
    <w:abstractNumId w:val="18"/>
  </w:num>
  <w:num w:numId="26">
    <w:abstractNumId w:val="35"/>
  </w:num>
  <w:num w:numId="27">
    <w:abstractNumId w:val="40"/>
  </w:num>
  <w:num w:numId="28">
    <w:abstractNumId w:val="30"/>
  </w:num>
  <w:num w:numId="29">
    <w:abstractNumId w:val="14"/>
  </w:num>
  <w:num w:numId="30">
    <w:abstractNumId w:val="4"/>
  </w:num>
  <w:num w:numId="31">
    <w:abstractNumId w:val="34"/>
  </w:num>
  <w:num w:numId="32">
    <w:abstractNumId w:val="7"/>
  </w:num>
  <w:num w:numId="33">
    <w:abstractNumId w:val="28"/>
  </w:num>
  <w:num w:numId="34">
    <w:abstractNumId w:val="5"/>
  </w:num>
  <w:num w:numId="35">
    <w:abstractNumId w:val="36"/>
  </w:num>
  <w:num w:numId="36">
    <w:abstractNumId w:val="15"/>
  </w:num>
  <w:num w:numId="37">
    <w:abstractNumId w:val="12"/>
  </w:num>
  <w:num w:numId="38">
    <w:abstractNumId w:val="29"/>
  </w:num>
  <w:num w:numId="39">
    <w:abstractNumId w:val="37"/>
  </w:num>
  <w:num w:numId="40">
    <w:abstractNumId w:val="6"/>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C3"/>
    <w:rsid w:val="000205A9"/>
    <w:rsid w:val="00025529"/>
    <w:rsid w:val="00043EC0"/>
    <w:rsid w:val="00060CC0"/>
    <w:rsid w:val="00061893"/>
    <w:rsid w:val="00063C25"/>
    <w:rsid w:val="000857E8"/>
    <w:rsid w:val="000966C3"/>
    <w:rsid w:val="000B0CDD"/>
    <w:rsid w:val="000C51D4"/>
    <w:rsid w:val="000E23E5"/>
    <w:rsid w:val="00112F54"/>
    <w:rsid w:val="00126859"/>
    <w:rsid w:val="00130AD0"/>
    <w:rsid w:val="001320C9"/>
    <w:rsid w:val="00134D61"/>
    <w:rsid w:val="00136193"/>
    <w:rsid w:val="0013749F"/>
    <w:rsid w:val="00144421"/>
    <w:rsid w:val="001550A2"/>
    <w:rsid w:val="00157A40"/>
    <w:rsid w:val="00175DF5"/>
    <w:rsid w:val="001778E9"/>
    <w:rsid w:val="001A14F5"/>
    <w:rsid w:val="001C45BA"/>
    <w:rsid w:val="001D6FB0"/>
    <w:rsid w:val="001D7AE0"/>
    <w:rsid w:val="001E26C3"/>
    <w:rsid w:val="001E3A38"/>
    <w:rsid w:val="001E516A"/>
    <w:rsid w:val="001F2B2E"/>
    <w:rsid w:val="001F41A3"/>
    <w:rsid w:val="00210CE1"/>
    <w:rsid w:val="0022434D"/>
    <w:rsid w:val="00227D08"/>
    <w:rsid w:val="00230596"/>
    <w:rsid w:val="00236B19"/>
    <w:rsid w:val="00241889"/>
    <w:rsid w:val="00266446"/>
    <w:rsid w:val="002813E1"/>
    <w:rsid w:val="00291979"/>
    <w:rsid w:val="0029240E"/>
    <w:rsid w:val="002B313E"/>
    <w:rsid w:val="002C27D5"/>
    <w:rsid w:val="002C2FF8"/>
    <w:rsid w:val="002C399B"/>
    <w:rsid w:val="002D0155"/>
    <w:rsid w:val="002D19CC"/>
    <w:rsid w:val="002D36BB"/>
    <w:rsid w:val="002D7A36"/>
    <w:rsid w:val="002E56EE"/>
    <w:rsid w:val="00302C61"/>
    <w:rsid w:val="00313D11"/>
    <w:rsid w:val="003201D7"/>
    <w:rsid w:val="00323618"/>
    <w:rsid w:val="00326D6E"/>
    <w:rsid w:val="0033699E"/>
    <w:rsid w:val="00356284"/>
    <w:rsid w:val="00374BF2"/>
    <w:rsid w:val="003804A6"/>
    <w:rsid w:val="00383385"/>
    <w:rsid w:val="00397766"/>
    <w:rsid w:val="003A2E55"/>
    <w:rsid w:val="003B0510"/>
    <w:rsid w:val="003B18B5"/>
    <w:rsid w:val="003B4DBC"/>
    <w:rsid w:val="003C17BB"/>
    <w:rsid w:val="003C74E4"/>
    <w:rsid w:val="003D116D"/>
    <w:rsid w:val="003F5642"/>
    <w:rsid w:val="00400060"/>
    <w:rsid w:val="004024EE"/>
    <w:rsid w:val="00423E12"/>
    <w:rsid w:val="004321EF"/>
    <w:rsid w:val="00433D92"/>
    <w:rsid w:val="00444FF3"/>
    <w:rsid w:val="00450A2F"/>
    <w:rsid w:val="00473439"/>
    <w:rsid w:val="00483C65"/>
    <w:rsid w:val="00491272"/>
    <w:rsid w:val="004A6AF4"/>
    <w:rsid w:val="004D0110"/>
    <w:rsid w:val="004D0F3E"/>
    <w:rsid w:val="004E7F89"/>
    <w:rsid w:val="00500776"/>
    <w:rsid w:val="00511E85"/>
    <w:rsid w:val="00512E1F"/>
    <w:rsid w:val="00515FA6"/>
    <w:rsid w:val="00517529"/>
    <w:rsid w:val="00532600"/>
    <w:rsid w:val="00546BA9"/>
    <w:rsid w:val="00551931"/>
    <w:rsid w:val="005659FD"/>
    <w:rsid w:val="00583B10"/>
    <w:rsid w:val="0059459E"/>
    <w:rsid w:val="005A56B0"/>
    <w:rsid w:val="005B5F87"/>
    <w:rsid w:val="005C0117"/>
    <w:rsid w:val="005C77C1"/>
    <w:rsid w:val="005F729B"/>
    <w:rsid w:val="00603628"/>
    <w:rsid w:val="0063678E"/>
    <w:rsid w:val="006654CD"/>
    <w:rsid w:val="00670E1A"/>
    <w:rsid w:val="006741F2"/>
    <w:rsid w:val="006939FC"/>
    <w:rsid w:val="0069486F"/>
    <w:rsid w:val="006A7388"/>
    <w:rsid w:val="006B3B68"/>
    <w:rsid w:val="006C0E40"/>
    <w:rsid w:val="006C4F15"/>
    <w:rsid w:val="006E0768"/>
    <w:rsid w:val="00720F63"/>
    <w:rsid w:val="00722B40"/>
    <w:rsid w:val="0074073A"/>
    <w:rsid w:val="00765EF2"/>
    <w:rsid w:val="00772E9A"/>
    <w:rsid w:val="007746C2"/>
    <w:rsid w:val="00791132"/>
    <w:rsid w:val="0079506A"/>
    <w:rsid w:val="007A3FD4"/>
    <w:rsid w:val="007A4F9D"/>
    <w:rsid w:val="007B1FB6"/>
    <w:rsid w:val="007C68C3"/>
    <w:rsid w:val="007D6D6F"/>
    <w:rsid w:val="007E1308"/>
    <w:rsid w:val="008001BE"/>
    <w:rsid w:val="0080220E"/>
    <w:rsid w:val="008068E8"/>
    <w:rsid w:val="00817067"/>
    <w:rsid w:val="00823FBA"/>
    <w:rsid w:val="0083389E"/>
    <w:rsid w:val="00835864"/>
    <w:rsid w:val="00840E4B"/>
    <w:rsid w:val="00874BCD"/>
    <w:rsid w:val="00875890"/>
    <w:rsid w:val="00883E9D"/>
    <w:rsid w:val="008861D8"/>
    <w:rsid w:val="008902CF"/>
    <w:rsid w:val="008A3C9D"/>
    <w:rsid w:val="008A46FC"/>
    <w:rsid w:val="008A571B"/>
    <w:rsid w:val="008B6625"/>
    <w:rsid w:val="008C6FF7"/>
    <w:rsid w:val="008D4C54"/>
    <w:rsid w:val="008E1BDE"/>
    <w:rsid w:val="00914686"/>
    <w:rsid w:val="00920BC4"/>
    <w:rsid w:val="00920FD3"/>
    <w:rsid w:val="00952AA1"/>
    <w:rsid w:val="0096697B"/>
    <w:rsid w:val="0097474E"/>
    <w:rsid w:val="00985B12"/>
    <w:rsid w:val="00986273"/>
    <w:rsid w:val="009873E2"/>
    <w:rsid w:val="00990E07"/>
    <w:rsid w:val="00993BBE"/>
    <w:rsid w:val="00993F48"/>
    <w:rsid w:val="009A1069"/>
    <w:rsid w:val="009A4408"/>
    <w:rsid w:val="009A5F56"/>
    <w:rsid w:val="009B6E02"/>
    <w:rsid w:val="009C1EDB"/>
    <w:rsid w:val="009D3EF4"/>
    <w:rsid w:val="009E3160"/>
    <w:rsid w:val="009E5DB2"/>
    <w:rsid w:val="009E6F6C"/>
    <w:rsid w:val="00A07754"/>
    <w:rsid w:val="00A1590C"/>
    <w:rsid w:val="00A44D48"/>
    <w:rsid w:val="00A460F6"/>
    <w:rsid w:val="00A51925"/>
    <w:rsid w:val="00A51DDE"/>
    <w:rsid w:val="00A55686"/>
    <w:rsid w:val="00A574C7"/>
    <w:rsid w:val="00A60BAB"/>
    <w:rsid w:val="00A70CDA"/>
    <w:rsid w:val="00A75840"/>
    <w:rsid w:val="00A8580B"/>
    <w:rsid w:val="00A86F3B"/>
    <w:rsid w:val="00A95219"/>
    <w:rsid w:val="00AA01F3"/>
    <w:rsid w:val="00AA6A4C"/>
    <w:rsid w:val="00AB6026"/>
    <w:rsid w:val="00AF5D55"/>
    <w:rsid w:val="00B05591"/>
    <w:rsid w:val="00B0778E"/>
    <w:rsid w:val="00B24488"/>
    <w:rsid w:val="00B26253"/>
    <w:rsid w:val="00B42802"/>
    <w:rsid w:val="00B55F4F"/>
    <w:rsid w:val="00B6123F"/>
    <w:rsid w:val="00B61C68"/>
    <w:rsid w:val="00B63C9B"/>
    <w:rsid w:val="00BB5FA4"/>
    <w:rsid w:val="00BD48E8"/>
    <w:rsid w:val="00BE074D"/>
    <w:rsid w:val="00BF6976"/>
    <w:rsid w:val="00C02FD5"/>
    <w:rsid w:val="00C06A8A"/>
    <w:rsid w:val="00C11FB6"/>
    <w:rsid w:val="00C25DC3"/>
    <w:rsid w:val="00C26D40"/>
    <w:rsid w:val="00C27A12"/>
    <w:rsid w:val="00C31E53"/>
    <w:rsid w:val="00C32CC5"/>
    <w:rsid w:val="00C50866"/>
    <w:rsid w:val="00C51A1F"/>
    <w:rsid w:val="00C52362"/>
    <w:rsid w:val="00C56DF9"/>
    <w:rsid w:val="00C60D41"/>
    <w:rsid w:val="00C67920"/>
    <w:rsid w:val="00C71EE2"/>
    <w:rsid w:val="00C7683D"/>
    <w:rsid w:val="00CA1704"/>
    <w:rsid w:val="00CA19EC"/>
    <w:rsid w:val="00CB0517"/>
    <w:rsid w:val="00CC134E"/>
    <w:rsid w:val="00CF4053"/>
    <w:rsid w:val="00CF60E1"/>
    <w:rsid w:val="00D00043"/>
    <w:rsid w:val="00D01E98"/>
    <w:rsid w:val="00D22712"/>
    <w:rsid w:val="00D26365"/>
    <w:rsid w:val="00D43488"/>
    <w:rsid w:val="00D47D64"/>
    <w:rsid w:val="00D56701"/>
    <w:rsid w:val="00D622FB"/>
    <w:rsid w:val="00D636C3"/>
    <w:rsid w:val="00D747E4"/>
    <w:rsid w:val="00D85EA2"/>
    <w:rsid w:val="00DA353D"/>
    <w:rsid w:val="00DA6DFB"/>
    <w:rsid w:val="00DA7D38"/>
    <w:rsid w:val="00DB4934"/>
    <w:rsid w:val="00DD1C7F"/>
    <w:rsid w:val="00DD1DD2"/>
    <w:rsid w:val="00DE1A6A"/>
    <w:rsid w:val="00DE1BDE"/>
    <w:rsid w:val="00DF4DD0"/>
    <w:rsid w:val="00E02D78"/>
    <w:rsid w:val="00E153D0"/>
    <w:rsid w:val="00E1662B"/>
    <w:rsid w:val="00E24408"/>
    <w:rsid w:val="00E27B9A"/>
    <w:rsid w:val="00E30406"/>
    <w:rsid w:val="00E42672"/>
    <w:rsid w:val="00E51BC2"/>
    <w:rsid w:val="00E6632C"/>
    <w:rsid w:val="00E71074"/>
    <w:rsid w:val="00E85BAD"/>
    <w:rsid w:val="00EA2C2E"/>
    <w:rsid w:val="00EA6DA8"/>
    <w:rsid w:val="00EB2F94"/>
    <w:rsid w:val="00ED4FB9"/>
    <w:rsid w:val="00ED676E"/>
    <w:rsid w:val="00EE5CDE"/>
    <w:rsid w:val="00F03A07"/>
    <w:rsid w:val="00F05BBF"/>
    <w:rsid w:val="00F10403"/>
    <w:rsid w:val="00F1127E"/>
    <w:rsid w:val="00F44C70"/>
    <w:rsid w:val="00F60897"/>
    <w:rsid w:val="00F622FF"/>
    <w:rsid w:val="00F62E1D"/>
    <w:rsid w:val="00F6362F"/>
    <w:rsid w:val="00F72122"/>
    <w:rsid w:val="00F87DAE"/>
    <w:rsid w:val="00F908CE"/>
    <w:rsid w:val="00F942FE"/>
    <w:rsid w:val="00F95B5B"/>
    <w:rsid w:val="00F979BE"/>
    <w:rsid w:val="00FA0839"/>
    <w:rsid w:val="00FA373B"/>
    <w:rsid w:val="00FA58A0"/>
    <w:rsid w:val="00FA5B5F"/>
    <w:rsid w:val="00FB042A"/>
    <w:rsid w:val="00FC0D23"/>
    <w:rsid w:val="00FF2757"/>
    <w:rsid w:val="00FF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6BCE"/>
  <w15:docId w15:val="{4F9892B9-47FD-46E8-8C90-E5E4E01C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C3"/>
    <w:pPr>
      <w:tabs>
        <w:tab w:val="left" w:pos="360"/>
      </w:tabs>
      <w:suppressAutoHyphens/>
      <w:spacing w:after="160" w:line="240" w:lineRule="auto"/>
    </w:pPr>
    <w:rPr>
      <w:rFonts w:ascii="Palatino Linotype" w:eastAsia="SimSun" w:hAnsi="Palatino Linotype" w:cs="Times New Roman"/>
      <w:szCs w:val="24"/>
    </w:rPr>
  </w:style>
  <w:style w:type="paragraph" w:styleId="Heading1">
    <w:name w:val="heading 1"/>
    <w:aliases w:val="Chapter Titles,Part"/>
    <w:basedOn w:val="Normal"/>
    <w:next w:val="Normal"/>
    <w:link w:val="Heading1Char"/>
    <w:qFormat/>
    <w:rsid w:val="00F622FF"/>
    <w:pPr>
      <w:keepNext/>
      <w:numPr>
        <w:numId w:val="9"/>
      </w:numPr>
      <w:spacing w:before="240" w:after="240"/>
      <w:outlineLvl w:val="0"/>
    </w:pPr>
    <w:rPr>
      <w:rFonts w:ascii="Century Gothic" w:hAnsi="Century Gothic" w:cs="Arial"/>
      <w:b/>
      <w:bCs/>
      <w:color w:val="4F81BD" w:themeColor="accent1"/>
      <w:kern w:val="32"/>
      <w:sz w:val="32"/>
      <w:szCs w:val="32"/>
    </w:rPr>
  </w:style>
  <w:style w:type="paragraph" w:styleId="Heading2">
    <w:name w:val="heading 2"/>
    <w:basedOn w:val="Heading1"/>
    <w:next w:val="Normal"/>
    <w:link w:val="Heading2Char"/>
    <w:qFormat/>
    <w:rsid w:val="00A07754"/>
    <w:pPr>
      <w:numPr>
        <w:ilvl w:val="1"/>
      </w:numPr>
      <w:spacing w:before="120" w:after="160"/>
      <w:outlineLvl w:val="1"/>
    </w:pPr>
    <w:rPr>
      <w:b w:val="0"/>
      <w:bCs w:val="0"/>
      <w:iCs/>
      <w:sz w:val="24"/>
    </w:rPr>
  </w:style>
  <w:style w:type="paragraph" w:styleId="Heading3">
    <w:name w:val="heading 3"/>
    <w:basedOn w:val="Heading1"/>
    <w:next w:val="Normal"/>
    <w:link w:val="Heading3Char"/>
    <w:qFormat/>
    <w:rsid w:val="00C25DC3"/>
    <w:pPr>
      <w:numPr>
        <w:ilvl w:val="2"/>
      </w:numPr>
      <w:spacing w:before="60" w:after="60"/>
      <w:outlineLvl w:val="2"/>
    </w:pPr>
    <w:rPr>
      <w:bCs w:val="0"/>
      <w:sz w:val="24"/>
      <w:szCs w:val="28"/>
    </w:rPr>
  </w:style>
  <w:style w:type="paragraph" w:styleId="Heading4">
    <w:name w:val="heading 4"/>
    <w:basedOn w:val="Normal"/>
    <w:next w:val="Normal"/>
    <w:link w:val="Heading4Char"/>
    <w:qFormat/>
    <w:rsid w:val="00C25DC3"/>
    <w:pPr>
      <w:keepNext/>
      <w:numPr>
        <w:ilvl w:val="3"/>
        <w:numId w:val="9"/>
      </w:numPr>
      <w:spacing w:after="60"/>
      <w:outlineLvl w:val="3"/>
    </w:pPr>
    <w:rPr>
      <w:rFonts w:ascii="Arial" w:hAnsi="Arial"/>
      <w:i/>
      <w:szCs w:val="28"/>
    </w:rPr>
  </w:style>
  <w:style w:type="paragraph" w:styleId="Heading5">
    <w:name w:val="heading 5"/>
    <w:basedOn w:val="Normal"/>
    <w:next w:val="Normal"/>
    <w:link w:val="Heading5Char"/>
    <w:qFormat/>
    <w:rsid w:val="00C25DC3"/>
    <w:pPr>
      <w:keepNext/>
      <w:keepLines/>
      <w:numPr>
        <w:ilvl w:val="4"/>
        <w:numId w:val="9"/>
      </w:numPr>
      <w:spacing w:before="200" w:after="0"/>
      <w:outlineLvl w:val="4"/>
    </w:pPr>
    <w:rPr>
      <w:rFonts w:eastAsia="MS Gothic"/>
    </w:rPr>
  </w:style>
  <w:style w:type="paragraph" w:styleId="Heading6">
    <w:name w:val="heading 6"/>
    <w:basedOn w:val="Normal"/>
    <w:next w:val="Normal"/>
    <w:link w:val="Heading6Char"/>
    <w:qFormat/>
    <w:rsid w:val="00C25DC3"/>
    <w:pPr>
      <w:keepNext/>
      <w:keepLines/>
      <w:numPr>
        <w:ilvl w:val="5"/>
        <w:numId w:val="9"/>
      </w:numPr>
      <w:spacing w:before="200" w:after="0"/>
      <w:outlineLvl w:val="5"/>
    </w:pPr>
    <w:rPr>
      <w:rFonts w:eastAsia="MS Gothic"/>
      <w:iCs/>
    </w:rPr>
  </w:style>
  <w:style w:type="paragraph" w:styleId="Heading7">
    <w:name w:val="heading 7"/>
    <w:basedOn w:val="Normal"/>
    <w:next w:val="Normal"/>
    <w:link w:val="Heading7Char"/>
    <w:qFormat/>
    <w:rsid w:val="00C25DC3"/>
    <w:pPr>
      <w:keepNext/>
      <w:keepLines/>
      <w:numPr>
        <w:ilvl w:val="6"/>
        <w:numId w:val="9"/>
      </w:numPr>
      <w:spacing w:before="200" w:after="0"/>
      <w:outlineLvl w:val="6"/>
    </w:pPr>
    <w:rPr>
      <w:rFonts w:eastAsia="MS Gothic"/>
      <w:iCs/>
      <w:color w:val="404040"/>
      <w:szCs w:val="22"/>
    </w:rPr>
  </w:style>
  <w:style w:type="paragraph" w:styleId="Heading8">
    <w:name w:val="heading 8"/>
    <w:basedOn w:val="Normal"/>
    <w:next w:val="Normal"/>
    <w:link w:val="Heading8Char"/>
    <w:qFormat/>
    <w:rsid w:val="00C25DC3"/>
    <w:pPr>
      <w:keepNext/>
      <w:keepLines/>
      <w:numPr>
        <w:ilvl w:val="7"/>
        <w:numId w:val="9"/>
      </w:numPr>
      <w:spacing w:before="200" w:after="0"/>
      <w:outlineLvl w:val="7"/>
    </w:pPr>
    <w:rPr>
      <w:rFonts w:eastAsia="MS Gothic"/>
      <w:color w:val="404040"/>
      <w:szCs w:val="22"/>
    </w:rPr>
  </w:style>
  <w:style w:type="paragraph" w:styleId="Heading9">
    <w:name w:val="heading 9"/>
    <w:basedOn w:val="Normal"/>
    <w:next w:val="Normal"/>
    <w:link w:val="Heading9Char"/>
    <w:qFormat/>
    <w:rsid w:val="00C25DC3"/>
    <w:pPr>
      <w:keepNext/>
      <w:keepLines/>
      <w:numPr>
        <w:ilvl w:val="8"/>
        <w:numId w:val="9"/>
      </w:numPr>
      <w:spacing w:before="200" w:after="0"/>
      <w:outlineLvl w:val="8"/>
    </w:pPr>
    <w:rPr>
      <w:rFonts w:eastAsia="MS Gothic"/>
      <w:iCs/>
      <w:color w:val="4040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s Char,Part Char"/>
    <w:basedOn w:val="DefaultParagraphFont"/>
    <w:link w:val="Heading1"/>
    <w:rsid w:val="00F622FF"/>
    <w:rPr>
      <w:rFonts w:ascii="Century Gothic" w:eastAsia="SimSun" w:hAnsi="Century Gothic" w:cs="Arial"/>
      <w:b/>
      <w:bCs/>
      <w:color w:val="4F81BD" w:themeColor="accent1"/>
      <w:kern w:val="32"/>
      <w:sz w:val="32"/>
      <w:szCs w:val="32"/>
    </w:rPr>
  </w:style>
  <w:style w:type="character" w:customStyle="1" w:styleId="Heading2Char">
    <w:name w:val="Heading 2 Char"/>
    <w:basedOn w:val="DefaultParagraphFont"/>
    <w:link w:val="Heading2"/>
    <w:rsid w:val="00A07754"/>
    <w:rPr>
      <w:rFonts w:ascii="Century Gothic" w:eastAsia="SimSun" w:hAnsi="Century Gothic" w:cs="Arial"/>
      <w:iCs/>
      <w:color w:val="4F81BD" w:themeColor="accent1"/>
      <w:kern w:val="32"/>
      <w:sz w:val="24"/>
      <w:szCs w:val="32"/>
    </w:rPr>
  </w:style>
  <w:style w:type="character" w:customStyle="1" w:styleId="Heading3Char">
    <w:name w:val="Heading 3 Char"/>
    <w:basedOn w:val="DefaultParagraphFont"/>
    <w:link w:val="Heading3"/>
    <w:rsid w:val="00C25DC3"/>
    <w:rPr>
      <w:rFonts w:ascii="Arial" w:eastAsia="SimSun" w:hAnsi="Arial" w:cs="Arial"/>
      <w:b/>
      <w:kern w:val="32"/>
      <w:sz w:val="24"/>
      <w:szCs w:val="28"/>
    </w:rPr>
  </w:style>
  <w:style w:type="character" w:customStyle="1" w:styleId="Heading4Char">
    <w:name w:val="Heading 4 Char"/>
    <w:basedOn w:val="DefaultParagraphFont"/>
    <w:link w:val="Heading4"/>
    <w:rsid w:val="00C25DC3"/>
    <w:rPr>
      <w:rFonts w:ascii="Arial" w:eastAsia="SimSun" w:hAnsi="Arial" w:cs="Times New Roman"/>
      <w:i/>
      <w:szCs w:val="28"/>
    </w:rPr>
  </w:style>
  <w:style w:type="character" w:customStyle="1" w:styleId="Heading5Char">
    <w:name w:val="Heading 5 Char"/>
    <w:basedOn w:val="DefaultParagraphFont"/>
    <w:link w:val="Heading5"/>
    <w:rsid w:val="00C25DC3"/>
    <w:rPr>
      <w:rFonts w:ascii="Palatino Linotype" w:eastAsia="MS Gothic" w:hAnsi="Palatino Linotype" w:cs="Times New Roman"/>
      <w:szCs w:val="24"/>
    </w:rPr>
  </w:style>
  <w:style w:type="character" w:customStyle="1" w:styleId="Heading6Char">
    <w:name w:val="Heading 6 Char"/>
    <w:basedOn w:val="DefaultParagraphFont"/>
    <w:link w:val="Heading6"/>
    <w:rsid w:val="00C25DC3"/>
    <w:rPr>
      <w:rFonts w:ascii="Palatino Linotype" w:eastAsia="MS Gothic" w:hAnsi="Palatino Linotype" w:cs="Times New Roman"/>
      <w:iCs/>
      <w:szCs w:val="24"/>
    </w:rPr>
  </w:style>
  <w:style w:type="character" w:customStyle="1" w:styleId="Heading7Char">
    <w:name w:val="Heading 7 Char"/>
    <w:basedOn w:val="DefaultParagraphFont"/>
    <w:link w:val="Heading7"/>
    <w:rsid w:val="00C25DC3"/>
    <w:rPr>
      <w:rFonts w:ascii="Palatino Linotype" w:eastAsia="MS Gothic" w:hAnsi="Palatino Linotype" w:cs="Times New Roman"/>
      <w:iCs/>
      <w:color w:val="404040"/>
    </w:rPr>
  </w:style>
  <w:style w:type="character" w:customStyle="1" w:styleId="Heading8Char">
    <w:name w:val="Heading 8 Char"/>
    <w:basedOn w:val="DefaultParagraphFont"/>
    <w:link w:val="Heading8"/>
    <w:rsid w:val="00C25DC3"/>
    <w:rPr>
      <w:rFonts w:ascii="Palatino Linotype" w:eastAsia="MS Gothic" w:hAnsi="Palatino Linotype" w:cs="Times New Roman"/>
      <w:color w:val="404040"/>
    </w:rPr>
  </w:style>
  <w:style w:type="character" w:customStyle="1" w:styleId="Heading9Char">
    <w:name w:val="Heading 9 Char"/>
    <w:basedOn w:val="DefaultParagraphFont"/>
    <w:link w:val="Heading9"/>
    <w:rsid w:val="00C25DC3"/>
    <w:rPr>
      <w:rFonts w:ascii="Palatino Linotype" w:eastAsia="MS Gothic" w:hAnsi="Palatino Linotype" w:cs="Times New Roman"/>
      <w:iCs/>
      <w:color w:val="404040"/>
    </w:rPr>
  </w:style>
  <w:style w:type="paragraph" w:styleId="ListBullet">
    <w:name w:val="List Bullet"/>
    <w:basedOn w:val="Normal"/>
    <w:autoRedefine/>
    <w:qFormat/>
    <w:rsid w:val="00C25DC3"/>
    <w:pPr>
      <w:numPr>
        <w:numId w:val="1"/>
      </w:numPr>
      <w:tabs>
        <w:tab w:val="clear" w:pos="360"/>
        <w:tab w:val="num" w:pos="720"/>
      </w:tabs>
      <w:ind w:left="720"/>
      <w:contextualSpacing/>
    </w:pPr>
  </w:style>
  <w:style w:type="paragraph" w:styleId="FootnoteText">
    <w:name w:val="footnote text"/>
    <w:basedOn w:val="Normal"/>
    <w:link w:val="FootnoteTextChar"/>
    <w:autoRedefine/>
    <w:uiPriority w:val="99"/>
    <w:unhideWhenUsed/>
    <w:rsid w:val="00C02FD5"/>
    <w:pPr>
      <w:spacing w:after="0"/>
    </w:pPr>
    <w:rPr>
      <w:rFonts w:cs="Arial"/>
      <w:sz w:val="18"/>
      <w:szCs w:val="18"/>
    </w:rPr>
  </w:style>
  <w:style w:type="character" w:customStyle="1" w:styleId="FootnoteTextChar">
    <w:name w:val="Footnote Text Char"/>
    <w:basedOn w:val="DefaultParagraphFont"/>
    <w:link w:val="FootnoteText"/>
    <w:uiPriority w:val="99"/>
    <w:rsid w:val="00C02FD5"/>
    <w:rPr>
      <w:rFonts w:ascii="Palatino Linotype" w:eastAsia="SimSun" w:hAnsi="Palatino Linotype" w:cs="Arial"/>
      <w:sz w:val="18"/>
      <w:szCs w:val="18"/>
    </w:rPr>
  </w:style>
  <w:style w:type="character" w:styleId="FootnoteReference">
    <w:name w:val="footnote reference"/>
    <w:aliases w:val="o"/>
    <w:uiPriority w:val="99"/>
    <w:unhideWhenUsed/>
    <w:rsid w:val="00C25DC3"/>
    <w:rPr>
      <w:vertAlign w:val="superscript"/>
    </w:rPr>
  </w:style>
  <w:style w:type="character" w:styleId="CommentReference">
    <w:name w:val="annotation reference"/>
    <w:uiPriority w:val="99"/>
    <w:semiHidden/>
    <w:unhideWhenUsed/>
    <w:rsid w:val="00C25DC3"/>
    <w:rPr>
      <w:sz w:val="16"/>
      <w:szCs w:val="16"/>
    </w:rPr>
  </w:style>
  <w:style w:type="character" w:styleId="Hyperlink">
    <w:name w:val="Hyperlink"/>
    <w:uiPriority w:val="99"/>
    <w:rsid w:val="00C25DC3"/>
    <w:rPr>
      <w:color w:val="0000FF"/>
      <w:u w:val="single"/>
    </w:rPr>
  </w:style>
  <w:style w:type="paragraph" w:customStyle="1" w:styleId="Default">
    <w:name w:val="Default"/>
    <w:rsid w:val="00C25DC3"/>
    <w:pPr>
      <w:autoSpaceDE w:val="0"/>
      <w:autoSpaceDN w:val="0"/>
      <w:adjustRightInd w:val="0"/>
      <w:spacing w:after="0" w:line="240" w:lineRule="auto"/>
    </w:pPr>
    <w:rPr>
      <w:rFonts w:ascii="Arial" w:eastAsia="SimSun" w:hAnsi="Arial" w:cs="Arial"/>
      <w:color w:val="000000"/>
      <w:sz w:val="24"/>
      <w:szCs w:val="24"/>
    </w:rPr>
  </w:style>
  <w:style w:type="paragraph" w:styleId="CommentText">
    <w:name w:val="annotation text"/>
    <w:basedOn w:val="Normal"/>
    <w:link w:val="CommentTextChar"/>
    <w:uiPriority w:val="99"/>
    <w:semiHidden/>
    <w:unhideWhenUsed/>
    <w:rsid w:val="00C25DC3"/>
    <w:rPr>
      <w:sz w:val="20"/>
      <w:szCs w:val="20"/>
    </w:rPr>
  </w:style>
  <w:style w:type="character" w:customStyle="1" w:styleId="CommentTextChar">
    <w:name w:val="Comment Text Char"/>
    <w:basedOn w:val="DefaultParagraphFont"/>
    <w:link w:val="CommentText"/>
    <w:uiPriority w:val="99"/>
    <w:semiHidden/>
    <w:rsid w:val="00C25DC3"/>
    <w:rPr>
      <w:rFonts w:ascii="Palatino Linotype" w:eastAsia="SimSu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C25DC3"/>
    <w:rPr>
      <w:b/>
      <w:bCs/>
    </w:rPr>
  </w:style>
  <w:style w:type="character" w:customStyle="1" w:styleId="CommentSubjectChar">
    <w:name w:val="Comment Subject Char"/>
    <w:basedOn w:val="CommentTextChar"/>
    <w:link w:val="CommentSubject"/>
    <w:uiPriority w:val="99"/>
    <w:semiHidden/>
    <w:rsid w:val="00C25DC3"/>
    <w:rPr>
      <w:rFonts w:ascii="Palatino Linotype" w:eastAsia="SimSun" w:hAnsi="Palatino Linotype" w:cs="Times New Roman"/>
      <w:b/>
      <w:bCs/>
      <w:sz w:val="20"/>
      <w:szCs w:val="20"/>
    </w:rPr>
  </w:style>
  <w:style w:type="paragraph" w:styleId="BalloonText">
    <w:name w:val="Balloon Text"/>
    <w:basedOn w:val="Normal"/>
    <w:link w:val="BalloonTextChar"/>
    <w:uiPriority w:val="99"/>
    <w:semiHidden/>
    <w:unhideWhenUsed/>
    <w:rsid w:val="00C25D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DC3"/>
    <w:rPr>
      <w:rFonts w:ascii="Tahoma" w:eastAsia="SimSun" w:hAnsi="Tahoma" w:cs="Tahoma"/>
      <w:sz w:val="16"/>
      <w:szCs w:val="16"/>
    </w:rPr>
  </w:style>
  <w:style w:type="paragraph" w:styleId="EndnoteText">
    <w:name w:val="endnote text"/>
    <w:basedOn w:val="Normal"/>
    <w:link w:val="EndnoteTextChar"/>
    <w:uiPriority w:val="99"/>
    <w:semiHidden/>
    <w:unhideWhenUsed/>
    <w:rsid w:val="00C25DC3"/>
    <w:rPr>
      <w:sz w:val="20"/>
      <w:szCs w:val="20"/>
    </w:rPr>
  </w:style>
  <w:style w:type="character" w:customStyle="1" w:styleId="EndnoteTextChar">
    <w:name w:val="Endnote Text Char"/>
    <w:basedOn w:val="DefaultParagraphFont"/>
    <w:link w:val="EndnoteText"/>
    <w:uiPriority w:val="99"/>
    <w:semiHidden/>
    <w:rsid w:val="00C25DC3"/>
    <w:rPr>
      <w:rFonts w:ascii="Palatino Linotype" w:eastAsia="SimSun" w:hAnsi="Palatino Linotype" w:cs="Times New Roman"/>
      <w:sz w:val="20"/>
      <w:szCs w:val="20"/>
    </w:rPr>
  </w:style>
  <w:style w:type="character" w:styleId="EndnoteReference">
    <w:name w:val="endnote reference"/>
    <w:uiPriority w:val="99"/>
    <w:semiHidden/>
    <w:unhideWhenUsed/>
    <w:rsid w:val="00C25DC3"/>
    <w:rPr>
      <w:vertAlign w:val="superscript"/>
    </w:rPr>
  </w:style>
  <w:style w:type="paragraph" w:styleId="Header">
    <w:name w:val="header"/>
    <w:basedOn w:val="Normal"/>
    <w:link w:val="HeaderChar"/>
    <w:uiPriority w:val="99"/>
    <w:unhideWhenUsed/>
    <w:rsid w:val="00C25DC3"/>
    <w:pPr>
      <w:tabs>
        <w:tab w:val="clear" w:pos="360"/>
        <w:tab w:val="center" w:pos="4680"/>
        <w:tab w:val="right" w:pos="9360"/>
      </w:tabs>
    </w:pPr>
  </w:style>
  <w:style w:type="character" w:customStyle="1" w:styleId="HeaderChar">
    <w:name w:val="Header Char"/>
    <w:basedOn w:val="DefaultParagraphFont"/>
    <w:link w:val="Header"/>
    <w:uiPriority w:val="99"/>
    <w:rsid w:val="00C25DC3"/>
    <w:rPr>
      <w:rFonts w:ascii="Palatino Linotype" w:eastAsia="SimSun" w:hAnsi="Palatino Linotype" w:cs="Times New Roman"/>
      <w:szCs w:val="24"/>
    </w:rPr>
  </w:style>
  <w:style w:type="paragraph" w:styleId="Footer">
    <w:name w:val="footer"/>
    <w:basedOn w:val="Normal"/>
    <w:link w:val="FooterChar"/>
    <w:uiPriority w:val="99"/>
    <w:unhideWhenUsed/>
    <w:rsid w:val="00C25DC3"/>
    <w:pPr>
      <w:tabs>
        <w:tab w:val="clear" w:pos="360"/>
        <w:tab w:val="center" w:pos="4680"/>
        <w:tab w:val="right" w:pos="9360"/>
      </w:tabs>
    </w:pPr>
  </w:style>
  <w:style w:type="character" w:customStyle="1" w:styleId="FooterChar">
    <w:name w:val="Footer Char"/>
    <w:basedOn w:val="DefaultParagraphFont"/>
    <w:link w:val="Footer"/>
    <w:uiPriority w:val="99"/>
    <w:rsid w:val="00C25DC3"/>
    <w:rPr>
      <w:rFonts w:ascii="Palatino Linotype" w:eastAsia="SimSun" w:hAnsi="Palatino Linotype" w:cs="Times New Roman"/>
      <w:szCs w:val="24"/>
    </w:rPr>
  </w:style>
  <w:style w:type="paragraph" w:styleId="TOCHeading">
    <w:name w:val="TOC Heading"/>
    <w:basedOn w:val="Heading1"/>
    <w:next w:val="Normal"/>
    <w:uiPriority w:val="39"/>
    <w:unhideWhenUsed/>
    <w:qFormat/>
    <w:rsid w:val="00C25DC3"/>
    <w:pPr>
      <w:keepLines/>
      <w:numPr>
        <w:numId w:val="0"/>
      </w:numPr>
      <w:suppressAutoHyphens w:val="0"/>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unhideWhenUsed/>
    <w:qFormat/>
    <w:rsid w:val="0080220E"/>
    <w:pPr>
      <w:tabs>
        <w:tab w:val="clear" w:pos="360"/>
        <w:tab w:val="left" w:pos="660"/>
        <w:tab w:val="right" w:pos="9350"/>
      </w:tabs>
      <w:spacing w:before="120" w:after="0"/>
    </w:pPr>
    <w:rPr>
      <w:rFonts w:asciiTheme="minorHAnsi" w:hAnsiTheme="minorHAnsi"/>
      <w:b/>
      <w:bCs/>
      <w:i/>
      <w:iCs/>
      <w:sz w:val="24"/>
    </w:rPr>
  </w:style>
  <w:style w:type="paragraph" w:styleId="TOC2">
    <w:name w:val="toc 2"/>
    <w:basedOn w:val="Normal"/>
    <w:next w:val="Normal"/>
    <w:autoRedefine/>
    <w:uiPriority w:val="39"/>
    <w:unhideWhenUsed/>
    <w:qFormat/>
    <w:rsid w:val="0080220E"/>
    <w:pPr>
      <w:tabs>
        <w:tab w:val="clear" w:pos="360"/>
        <w:tab w:val="left" w:pos="660"/>
        <w:tab w:val="right" w:pos="9350"/>
      </w:tabs>
      <w:spacing w:before="120" w:after="0"/>
      <w:ind w:left="220"/>
    </w:pPr>
    <w:rPr>
      <w:rFonts w:asciiTheme="minorHAnsi" w:hAnsiTheme="minorHAnsi"/>
      <w:b/>
      <w:bCs/>
      <w:szCs w:val="22"/>
    </w:rPr>
  </w:style>
  <w:style w:type="paragraph" w:styleId="TOC3">
    <w:name w:val="toc 3"/>
    <w:basedOn w:val="Normal"/>
    <w:next w:val="Normal"/>
    <w:autoRedefine/>
    <w:uiPriority w:val="39"/>
    <w:unhideWhenUsed/>
    <w:qFormat/>
    <w:rsid w:val="00C25DC3"/>
    <w:pPr>
      <w:tabs>
        <w:tab w:val="clear" w:pos="360"/>
      </w:tabs>
      <w:spacing w:after="0"/>
      <w:ind w:left="440"/>
    </w:pPr>
    <w:rPr>
      <w:rFonts w:asciiTheme="minorHAnsi" w:hAnsiTheme="minorHAnsi"/>
      <w:sz w:val="20"/>
      <w:szCs w:val="20"/>
    </w:rPr>
  </w:style>
  <w:style w:type="paragraph" w:styleId="TOC4">
    <w:name w:val="toc 4"/>
    <w:basedOn w:val="Normal"/>
    <w:next w:val="Normal"/>
    <w:autoRedefine/>
    <w:uiPriority w:val="39"/>
    <w:unhideWhenUsed/>
    <w:rsid w:val="00C25DC3"/>
    <w:pPr>
      <w:tabs>
        <w:tab w:val="clear" w:pos="360"/>
      </w:tabs>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25DC3"/>
    <w:pPr>
      <w:tabs>
        <w:tab w:val="clear" w:pos="360"/>
      </w:tabs>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25DC3"/>
    <w:pPr>
      <w:tabs>
        <w:tab w:val="clear" w:pos="360"/>
      </w:tabs>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25DC3"/>
    <w:pPr>
      <w:tabs>
        <w:tab w:val="clear" w:pos="360"/>
      </w:tabs>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25DC3"/>
    <w:pPr>
      <w:tabs>
        <w:tab w:val="clear" w:pos="360"/>
      </w:tabs>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25DC3"/>
    <w:pPr>
      <w:tabs>
        <w:tab w:val="clear" w:pos="360"/>
      </w:tabs>
      <w:spacing w:after="0"/>
      <w:ind w:left="1760"/>
    </w:pPr>
    <w:rPr>
      <w:rFonts w:asciiTheme="minorHAnsi" w:hAnsiTheme="minorHAnsi"/>
      <w:sz w:val="20"/>
      <w:szCs w:val="20"/>
    </w:rPr>
  </w:style>
  <w:style w:type="character" w:styleId="FollowedHyperlink">
    <w:name w:val="FollowedHyperlink"/>
    <w:uiPriority w:val="99"/>
    <w:semiHidden/>
    <w:unhideWhenUsed/>
    <w:rsid w:val="00C25DC3"/>
    <w:rPr>
      <w:color w:val="800080"/>
      <w:u w:val="single"/>
    </w:rPr>
  </w:style>
  <w:style w:type="paragraph" w:styleId="HTMLPreformatted">
    <w:name w:val="HTML Preformatted"/>
    <w:basedOn w:val="Normal"/>
    <w:link w:val="HTMLPreformattedChar"/>
    <w:uiPriority w:val="99"/>
    <w:semiHidden/>
    <w:unhideWhenUsed/>
    <w:rsid w:val="00C25DC3"/>
    <w:p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5DC3"/>
    <w:rPr>
      <w:rFonts w:ascii="Courier New" w:eastAsia="Times New Roman" w:hAnsi="Courier New" w:cs="Courier New"/>
      <w:sz w:val="20"/>
      <w:szCs w:val="20"/>
    </w:rPr>
  </w:style>
  <w:style w:type="table" w:styleId="TableGrid">
    <w:name w:val="Table Grid"/>
    <w:basedOn w:val="TableNormal"/>
    <w:uiPriority w:val="59"/>
    <w:rsid w:val="00C25DC3"/>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25DC3"/>
    <w:pPr>
      <w:tabs>
        <w:tab w:val="clear" w:pos="360"/>
      </w:tabs>
      <w:suppressAutoHyphens w:val="0"/>
      <w:spacing w:after="200" w:line="276" w:lineRule="auto"/>
    </w:pPr>
    <w:rPr>
      <w:rFonts w:asciiTheme="minorHAnsi" w:eastAsiaTheme="minorEastAsia" w:hAnsiTheme="minorHAnsi" w:cstheme="minorBidi"/>
      <w:i/>
      <w:iCs/>
      <w:color w:val="000000" w:themeColor="text1"/>
      <w:szCs w:val="22"/>
      <w:lang w:eastAsia="ja-JP"/>
    </w:rPr>
  </w:style>
  <w:style w:type="character" w:customStyle="1" w:styleId="QuoteChar">
    <w:name w:val="Quote Char"/>
    <w:basedOn w:val="DefaultParagraphFont"/>
    <w:link w:val="Quote"/>
    <w:uiPriority w:val="29"/>
    <w:rsid w:val="00C25DC3"/>
    <w:rPr>
      <w:rFonts w:eastAsiaTheme="minorEastAsia"/>
      <w:i/>
      <w:iCs/>
      <w:color w:val="000000" w:themeColor="text1"/>
      <w:lang w:eastAsia="ja-JP"/>
    </w:rPr>
  </w:style>
  <w:style w:type="character" w:styleId="UnresolvedMention">
    <w:name w:val="Unresolved Mention"/>
    <w:basedOn w:val="DefaultParagraphFont"/>
    <w:uiPriority w:val="99"/>
    <w:semiHidden/>
    <w:unhideWhenUsed/>
    <w:rsid w:val="0013749F"/>
    <w:rPr>
      <w:color w:val="605E5C"/>
      <w:shd w:val="clear" w:color="auto" w:fill="E1DFDD"/>
    </w:rPr>
  </w:style>
  <w:style w:type="paragraph" w:styleId="Revision">
    <w:name w:val="Revision"/>
    <w:hidden/>
    <w:uiPriority w:val="99"/>
    <w:semiHidden/>
    <w:rsid w:val="00A44D48"/>
    <w:pPr>
      <w:spacing w:after="0" w:line="240" w:lineRule="auto"/>
    </w:pPr>
    <w:rPr>
      <w:rFonts w:ascii="Palatino Linotype" w:eastAsia="SimSun" w:hAnsi="Palatino Linotype" w:cs="Times New Roman"/>
      <w:szCs w:val="24"/>
    </w:rPr>
  </w:style>
  <w:style w:type="paragraph" w:styleId="ListParagraph">
    <w:name w:val="List Paragraph"/>
    <w:basedOn w:val="Normal"/>
    <w:uiPriority w:val="34"/>
    <w:qFormat/>
    <w:rsid w:val="00636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60252">
      <w:bodyDiv w:val="1"/>
      <w:marLeft w:val="0"/>
      <w:marRight w:val="0"/>
      <w:marTop w:val="0"/>
      <w:marBottom w:val="0"/>
      <w:divBdr>
        <w:top w:val="none" w:sz="0" w:space="0" w:color="auto"/>
        <w:left w:val="none" w:sz="0" w:space="0" w:color="auto"/>
        <w:bottom w:val="none" w:sz="0" w:space="0" w:color="auto"/>
        <w:right w:val="none" w:sz="0" w:space="0" w:color="auto"/>
      </w:divBdr>
    </w:div>
    <w:div w:id="1408648345">
      <w:bodyDiv w:val="1"/>
      <w:marLeft w:val="0"/>
      <w:marRight w:val="0"/>
      <w:marTop w:val="0"/>
      <w:marBottom w:val="0"/>
      <w:divBdr>
        <w:top w:val="none" w:sz="0" w:space="0" w:color="auto"/>
        <w:left w:val="none" w:sz="0" w:space="0" w:color="auto"/>
        <w:bottom w:val="none" w:sz="0" w:space="0" w:color="auto"/>
        <w:right w:val="none" w:sz="0" w:space="0" w:color="auto"/>
      </w:divBdr>
    </w:div>
    <w:div w:id="16663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scompliance@cpuc.ca.gov" TargetMode="External"/><Relationship Id="rId18" Type="http://schemas.openxmlformats.org/officeDocument/2006/relationships/image" Target="media/image5.emf"/><Relationship Id="rId26" Type="http://schemas.openxmlformats.org/officeDocument/2006/relationships/hyperlink" Target="mailto:rpscompliance@cpuc.ca.gov" TargetMode="External"/><Relationship Id="rId3" Type="http://schemas.openxmlformats.org/officeDocument/2006/relationships/customXml" Target="../customXml/item3.xml"/><Relationship Id="rId21" Type="http://schemas.openxmlformats.org/officeDocument/2006/relationships/hyperlink" Target="mailto:rpscompliance@cpuc.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yperlink" Target="mailto:rpscompliance@cpuc.ca.gov"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pscompliance@cpuc.ca.gov"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rpscompliance@cpuc.c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scompliance@cpuc.ca.gov" TargetMode="External"/><Relationship Id="rId22" Type="http://schemas.openxmlformats.org/officeDocument/2006/relationships/hyperlink" Target="mailto:rpscompliance@cpuc.ca.gov"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puc.ca.gov/PUC/energy/Renewables/index.htm" TargetMode="External"/><Relationship Id="rId3" Type="http://schemas.openxmlformats.org/officeDocument/2006/relationships/hyperlink" Target="http://docketpublic.energy.ca.gov/PublicDocuments/16-RPS-01/TN217317_20170427T142045_RPS_Eligibility_Guidebook_Ninth_Edition_Revised.pdf" TargetMode="External"/><Relationship Id="rId7" Type="http://schemas.openxmlformats.org/officeDocument/2006/relationships/hyperlink" Target="http://www.caiso.com/Documents/FinalProposal-DynamicTransfers.pdf" TargetMode="External"/><Relationship Id="rId2" Type="http://schemas.openxmlformats.org/officeDocument/2006/relationships/hyperlink" Target="https://www.energy.ca.gov/portfolio/documents/rps_verification_retailsellers.html" TargetMode="External"/><Relationship Id="rId1" Type="http://schemas.openxmlformats.org/officeDocument/2006/relationships/hyperlink" Target="http://www.caiso.com/participate/Pages/DynamicTransfers/Default.aspx" TargetMode="External"/><Relationship Id="rId6" Type="http://schemas.openxmlformats.org/officeDocument/2006/relationships/hyperlink" Target="https://rps.energy.ca.gov/Pages/Search/SearchApplications.aspx" TargetMode="External"/><Relationship Id="rId11" Type="http://schemas.openxmlformats.org/officeDocument/2006/relationships/hyperlink" Target="http://www.caiso.com/Documents/Process_Guidlines-DynamicTransfers.pdf" TargetMode="External"/><Relationship Id="rId5" Type="http://schemas.openxmlformats.org/officeDocument/2006/relationships/hyperlink" Target="http://www.cpuc.ca.gov/General.aspx?id=3856" TargetMode="External"/><Relationship Id="rId10" Type="http://schemas.openxmlformats.org/officeDocument/2006/relationships/hyperlink" Target="http://www.caiso.com/participate/Pages/DynamicTransfers/Default.aspx" TargetMode="External"/><Relationship Id="rId4" Type="http://schemas.openxmlformats.org/officeDocument/2006/relationships/hyperlink" Target="http://docketpublic.energy.ca.gov/PublicDocuments/16-RPS-01/TN217317_20170427T142045_RPS_Eligibility_Guidebook_Ninth_Edition_Revised.pdf" TargetMode="External"/><Relationship Id="rId9" Type="http://schemas.openxmlformats.org/officeDocument/2006/relationships/hyperlink" Target="https://www.energy.ca.gov/programs-and-topics/programs/renewables-portfolio-standard/renewables-portfolio-standar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32C8BED6CF3548BF8333AE401CD8C8" ma:contentTypeVersion="5" ma:contentTypeDescription="Create a new document." ma:contentTypeScope="" ma:versionID="1b7fba00627d0bbd236abf4fc98f855c">
  <xsd:schema xmlns:xsd="http://www.w3.org/2001/XMLSchema" xmlns:xs="http://www.w3.org/2001/XMLSchema" xmlns:p="http://schemas.microsoft.com/office/2006/metadata/properties" xmlns:ns3="b68f4fe1-3a55-4bcc-9c2a-17f3e71cc75b" xmlns:ns4="939e3009-1176-41fd-a24b-ed27b0027fde" targetNamespace="http://schemas.microsoft.com/office/2006/metadata/properties" ma:root="true" ma:fieldsID="f45fbab2bca04f94e078586c6cf65dde" ns3:_="" ns4:_="">
    <xsd:import namespace="b68f4fe1-3a55-4bcc-9c2a-17f3e71cc75b"/>
    <xsd:import namespace="939e3009-1176-41fd-a24b-ed27b0027f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4fe1-3a55-4bcc-9c2a-17f3e71cc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e3009-1176-41fd-a24b-ed27b0027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CE276-8B44-400E-9469-781EDB9BA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10207-D1EC-48E7-892C-4E0331F983C4}">
  <ds:schemaRefs>
    <ds:schemaRef ds:uri="http://schemas.microsoft.com/sharepoint/v3/contenttype/forms"/>
  </ds:schemaRefs>
</ds:datastoreItem>
</file>

<file path=customXml/itemProps3.xml><?xml version="1.0" encoding="utf-8"?>
<ds:datastoreItem xmlns:ds="http://schemas.openxmlformats.org/officeDocument/2006/customXml" ds:itemID="{A4DCB770-22E2-4889-A6A5-D4ACEEA0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4fe1-3a55-4bcc-9c2a-17f3e71cc75b"/>
    <ds:schemaRef ds:uri="939e3009-1176-41fd-a24b-ed27b002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2EDF7-4CED-4F04-A0A1-00AE3992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8713</Words>
  <Characters>49667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58264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Amanda</dc:creator>
  <cp:lastModifiedBy>Amanda Singh</cp:lastModifiedBy>
  <cp:revision>42</cp:revision>
  <dcterms:created xsi:type="dcterms:W3CDTF">2020-06-15T21:23:00Z</dcterms:created>
  <dcterms:modified xsi:type="dcterms:W3CDTF">2020-06-16T21:47:00Z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0x0101006D32C8BED6CF3548BF8333AE401CD8C8</vt:lpwstr>
  </property>
</Properties>
</file>