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4E" w:rsidRDefault="002D06A6" w:rsidP="001D0024">
      <w:pPr>
        <w:pStyle w:val="Title"/>
        <w:spacing w:after="160" w:line="360" w:lineRule="auto"/>
      </w:pPr>
      <w:bookmarkStart w:id="0" w:name="_GoBack"/>
      <w:bookmarkEnd w:id="0"/>
      <w:r>
        <w:t xml:space="preserve">Resource Adequacy </w:t>
      </w:r>
      <w:r w:rsidR="00D74559">
        <w:t xml:space="preserve">Forecast </w:t>
      </w:r>
      <w:r w:rsidR="00060DF4">
        <w:t xml:space="preserve">Adjustment(s) </w:t>
      </w:r>
      <w:r w:rsidR="00B219D7">
        <w:t>A</w:t>
      </w:r>
      <w:r>
        <w:t xml:space="preserve">llocation </w:t>
      </w:r>
      <w:r w:rsidR="00B219D7">
        <w:t>M</w:t>
      </w:r>
      <w:r w:rsidR="00C92EB2">
        <w:t>ethodology</w:t>
      </w:r>
    </w:p>
    <w:p w:rsidR="00940225" w:rsidRDefault="00940225" w:rsidP="00940225">
      <w:pPr>
        <w:spacing w:after="160" w:line="240" w:lineRule="auto"/>
        <w:jc w:val="center"/>
        <w:rPr>
          <w:rFonts w:ascii="Arial" w:hAnsi="Arial"/>
          <w:sz w:val="18"/>
        </w:rPr>
      </w:pPr>
      <w:r>
        <w:rPr>
          <w:rFonts w:ascii="Arial" w:hAnsi="Arial"/>
          <w:sz w:val="18"/>
        </w:rPr>
        <w:t>Miguel Cerrutti</w:t>
      </w:r>
    </w:p>
    <w:p w:rsidR="00940225" w:rsidRDefault="00940225" w:rsidP="00940225">
      <w:pPr>
        <w:spacing w:after="160" w:line="240" w:lineRule="auto"/>
        <w:jc w:val="center"/>
        <w:rPr>
          <w:rFonts w:ascii="Arial" w:hAnsi="Arial"/>
          <w:sz w:val="18"/>
        </w:rPr>
      </w:pPr>
      <w:r>
        <w:rPr>
          <w:rFonts w:ascii="Arial" w:hAnsi="Arial"/>
          <w:sz w:val="18"/>
        </w:rPr>
        <w:t>Demand Analysis Office – California Energy Commission</w:t>
      </w:r>
    </w:p>
    <w:p w:rsidR="00940225" w:rsidRPr="00940225" w:rsidRDefault="00940225" w:rsidP="00940225">
      <w:pPr>
        <w:spacing w:after="160" w:line="240" w:lineRule="auto"/>
        <w:jc w:val="center"/>
        <w:rPr>
          <w:rFonts w:ascii="Arial" w:hAnsi="Arial"/>
          <w:sz w:val="18"/>
        </w:rPr>
      </w:pPr>
      <w:r w:rsidRPr="00940225">
        <w:rPr>
          <w:rFonts w:ascii="Arial" w:hAnsi="Arial"/>
          <w:sz w:val="18"/>
        </w:rPr>
        <w:t>R.14-10-010 Workshop</w:t>
      </w:r>
      <w:r>
        <w:rPr>
          <w:rFonts w:ascii="Arial" w:hAnsi="Arial"/>
          <w:sz w:val="18"/>
        </w:rPr>
        <w:t xml:space="preserve"> - </w:t>
      </w:r>
      <w:r w:rsidRPr="00940225">
        <w:rPr>
          <w:rFonts w:ascii="Arial" w:hAnsi="Arial"/>
          <w:sz w:val="18"/>
        </w:rPr>
        <w:t>California Public Utility Commission</w:t>
      </w:r>
    </w:p>
    <w:p w:rsidR="00EC394E" w:rsidRDefault="00940225" w:rsidP="00940225">
      <w:pPr>
        <w:spacing w:after="160" w:line="240" w:lineRule="auto"/>
        <w:jc w:val="center"/>
        <w:rPr>
          <w:rFonts w:ascii="Arial" w:hAnsi="Arial"/>
          <w:sz w:val="18"/>
        </w:rPr>
      </w:pPr>
      <w:r w:rsidRPr="00940225">
        <w:rPr>
          <w:rFonts w:ascii="Arial" w:hAnsi="Arial"/>
          <w:sz w:val="18"/>
        </w:rPr>
        <w:t>San Francisco, February 9, 2015</w:t>
      </w:r>
    </w:p>
    <w:p w:rsidR="00EC394E" w:rsidRDefault="00A87F96">
      <w:pPr>
        <w:spacing w:after="160"/>
        <w:jc w:val="both"/>
        <w:rPr>
          <w:rFonts w:ascii="Arial" w:hAnsi="Arial"/>
        </w:rPr>
      </w:pPr>
      <w:r>
        <w:rPr>
          <w:rFonts w:ascii="Arial" w:hAnsi="Arial"/>
        </w:rPr>
        <w:pict>
          <v:rect id="_x0000_i1025" style="width:450pt;height:.5pt" o:hralign="center" o:hrstd="t" o:hrnoshade="t" o:hr="t" fillcolor="black" stroked="f"/>
        </w:pict>
      </w:r>
    </w:p>
    <w:p w:rsidR="00EC394E" w:rsidRDefault="00EC394E">
      <w:pPr>
        <w:autoSpaceDE w:val="0"/>
        <w:autoSpaceDN w:val="0"/>
        <w:adjustRightInd w:val="0"/>
        <w:spacing w:after="0" w:line="240" w:lineRule="auto"/>
        <w:rPr>
          <w:rFonts w:ascii="Arial" w:hAnsi="Arial"/>
          <w:sz w:val="16"/>
        </w:rPr>
      </w:pPr>
    </w:p>
    <w:p w:rsidR="00A30657" w:rsidRDefault="00A30657" w:rsidP="00A30657">
      <w:pPr>
        <w:autoSpaceDE w:val="0"/>
        <w:autoSpaceDN w:val="0"/>
        <w:adjustRightInd w:val="0"/>
        <w:spacing w:after="160" w:line="360" w:lineRule="auto"/>
        <w:rPr>
          <w:rFonts w:ascii="Arial" w:hAnsi="Arial"/>
          <w:b/>
          <w:color w:val="000000"/>
          <w:sz w:val="20"/>
        </w:rPr>
        <w:sectPr w:rsidR="00A30657">
          <w:headerReference w:type="default" r:id="rId9"/>
          <w:footerReference w:type="default" r:id="rId10"/>
          <w:pgSz w:w="12240" w:h="15840"/>
          <w:pgMar w:top="1440" w:right="1440" w:bottom="1440" w:left="1440" w:header="720" w:footer="720" w:gutter="0"/>
          <w:cols w:space="720"/>
          <w:titlePg/>
          <w:docGrid w:linePitch="360"/>
        </w:sectPr>
      </w:pPr>
    </w:p>
    <w:p w:rsidR="00EE4BB6" w:rsidRDefault="00EE4BB6" w:rsidP="00EE4BB6">
      <w:pPr>
        <w:autoSpaceDE w:val="0"/>
        <w:autoSpaceDN w:val="0"/>
        <w:adjustRightInd w:val="0"/>
        <w:spacing w:after="160" w:line="360" w:lineRule="auto"/>
        <w:jc w:val="both"/>
        <w:rPr>
          <w:rFonts w:ascii="Arial" w:hAnsi="Arial"/>
          <w:color w:val="000000"/>
          <w:sz w:val="20"/>
        </w:rPr>
      </w:pPr>
      <w:r>
        <w:rPr>
          <w:rFonts w:ascii="Arial" w:hAnsi="Arial"/>
          <w:color w:val="000000"/>
          <w:sz w:val="20"/>
        </w:rPr>
        <w:lastRenderedPageBreak/>
        <w:t xml:space="preserve">The </w:t>
      </w:r>
      <w:r w:rsidR="00B92118" w:rsidRPr="00E76266">
        <w:rPr>
          <w:rFonts w:ascii="Arial" w:hAnsi="Arial"/>
          <w:color w:val="000000"/>
          <w:sz w:val="20"/>
        </w:rPr>
        <w:t xml:space="preserve">California Public Utilities Commission (CPUC) </w:t>
      </w:r>
      <w:r>
        <w:rPr>
          <w:rFonts w:ascii="Arial" w:hAnsi="Arial"/>
          <w:color w:val="000000"/>
          <w:sz w:val="20"/>
        </w:rPr>
        <w:t>Resource Adequacy (RA) program</w:t>
      </w:r>
      <w:r w:rsidR="00B92118">
        <w:rPr>
          <w:rFonts w:ascii="Arial" w:hAnsi="Arial"/>
          <w:color w:val="000000"/>
          <w:sz w:val="20"/>
        </w:rPr>
        <w:t xml:space="preserve"> </w:t>
      </w:r>
      <w:r w:rsidR="002D06A6" w:rsidRPr="00E76266">
        <w:rPr>
          <w:rFonts w:ascii="Arial" w:hAnsi="Arial"/>
          <w:color w:val="000000"/>
          <w:sz w:val="20"/>
        </w:rPr>
        <w:t xml:space="preserve">requires </w:t>
      </w:r>
      <w:r>
        <w:rPr>
          <w:rFonts w:ascii="Arial" w:hAnsi="Arial"/>
          <w:color w:val="000000"/>
          <w:sz w:val="20"/>
        </w:rPr>
        <w:t>it</w:t>
      </w:r>
      <w:r w:rsidR="00735205" w:rsidRPr="00E76266">
        <w:rPr>
          <w:rFonts w:ascii="Arial" w:hAnsi="Arial"/>
          <w:color w:val="000000"/>
          <w:sz w:val="20"/>
        </w:rPr>
        <w:t xml:space="preserve">s </w:t>
      </w:r>
      <w:r w:rsidR="002D06A6" w:rsidRPr="00E76266">
        <w:rPr>
          <w:rFonts w:ascii="Arial" w:hAnsi="Arial"/>
          <w:color w:val="000000"/>
          <w:sz w:val="20"/>
        </w:rPr>
        <w:t>jurisdiction</w:t>
      </w:r>
      <w:r w:rsidR="00735205" w:rsidRPr="00E76266">
        <w:rPr>
          <w:rFonts w:ascii="Arial" w:hAnsi="Arial"/>
          <w:color w:val="000000"/>
          <w:sz w:val="20"/>
        </w:rPr>
        <w:t>al</w:t>
      </w:r>
      <w:r w:rsidR="002D06A6" w:rsidRPr="00E76266">
        <w:rPr>
          <w:rFonts w:ascii="Arial" w:hAnsi="Arial"/>
          <w:color w:val="000000"/>
          <w:sz w:val="20"/>
        </w:rPr>
        <w:t xml:space="preserve"> load-serving entities (LSEs) to demonstrate </w:t>
      </w:r>
      <w:r w:rsidR="00735205" w:rsidRPr="00E76266">
        <w:rPr>
          <w:rFonts w:ascii="Arial" w:hAnsi="Arial"/>
          <w:color w:val="000000"/>
          <w:sz w:val="20"/>
        </w:rPr>
        <w:t xml:space="preserve">through </w:t>
      </w:r>
      <w:r w:rsidR="002D06A6" w:rsidRPr="00E76266">
        <w:rPr>
          <w:rFonts w:ascii="Arial" w:hAnsi="Arial"/>
          <w:color w:val="000000"/>
          <w:sz w:val="20"/>
        </w:rPr>
        <w:t xml:space="preserve">monthly and annual </w:t>
      </w:r>
      <w:r w:rsidR="00735205" w:rsidRPr="00E76266">
        <w:rPr>
          <w:rFonts w:ascii="Arial" w:hAnsi="Arial"/>
          <w:color w:val="000000"/>
          <w:sz w:val="20"/>
        </w:rPr>
        <w:t xml:space="preserve">compliance </w:t>
      </w:r>
      <w:r w:rsidR="002D06A6" w:rsidRPr="00E76266">
        <w:rPr>
          <w:rFonts w:ascii="Arial" w:hAnsi="Arial"/>
          <w:color w:val="000000"/>
          <w:sz w:val="20"/>
        </w:rPr>
        <w:t>filings that they have sufficient capacity commitments to satisfy demand at all times</w:t>
      </w:r>
      <w:r w:rsidR="00F854CE" w:rsidRPr="00E76266">
        <w:rPr>
          <w:rFonts w:ascii="Arial" w:hAnsi="Arial"/>
          <w:color w:val="000000"/>
          <w:sz w:val="20"/>
        </w:rPr>
        <w:t xml:space="preserve">, </w:t>
      </w:r>
      <w:r w:rsidR="004675A8">
        <w:rPr>
          <w:rFonts w:ascii="Arial" w:hAnsi="Arial"/>
          <w:color w:val="000000"/>
          <w:sz w:val="20"/>
        </w:rPr>
        <w:t>so to ensure system reliability.</w:t>
      </w:r>
    </w:p>
    <w:p w:rsidR="006273E5" w:rsidRDefault="00735205" w:rsidP="00EE4BB6">
      <w:pPr>
        <w:autoSpaceDE w:val="0"/>
        <w:autoSpaceDN w:val="0"/>
        <w:adjustRightInd w:val="0"/>
        <w:spacing w:after="160" w:line="360" w:lineRule="auto"/>
        <w:ind w:firstLine="288"/>
        <w:jc w:val="both"/>
        <w:rPr>
          <w:rFonts w:ascii="Arial" w:hAnsi="Arial"/>
          <w:color w:val="000000"/>
          <w:sz w:val="20"/>
        </w:rPr>
      </w:pPr>
      <w:r>
        <w:rPr>
          <w:rFonts w:ascii="Arial" w:hAnsi="Arial"/>
          <w:color w:val="000000"/>
          <w:sz w:val="20"/>
        </w:rPr>
        <w:t xml:space="preserve">Monthly and annual system RA requirements are based on load forecast data filed </w:t>
      </w:r>
      <w:r w:rsidR="005A4B6D">
        <w:rPr>
          <w:rFonts w:ascii="Arial" w:hAnsi="Arial"/>
          <w:color w:val="000000"/>
          <w:sz w:val="20"/>
        </w:rPr>
        <w:t xml:space="preserve">annually </w:t>
      </w:r>
      <w:r>
        <w:rPr>
          <w:rFonts w:ascii="Arial" w:hAnsi="Arial"/>
          <w:color w:val="000000"/>
          <w:sz w:val="20"/>
        </w:rPr>
        <w:t>by each LSE and adjusted by the California Energy Commission (CEC).</w:t>
      </w:r>
      <w:r w:rsidR="005456D6">
        <w:rPr>
          <w:rFonts w:ascii="Arial" w:hAnsi="Arial"/>
          <w:color w:val="000000"/>
          <w:sz w:val="20"/>
        </w:rPr>
        <w:t xml:space="preserve"> </w:t>
      </w:r>
      <w:r w:rsidR="002F444C">
        <w:rPr>
          <w:rFonts w:ascii="Arial" w:hAnsi="Arial"/>
          <w:color w:val="000000"/>
          <w:sz w:val="20"/>
        </w:rPr>
        <w:t>The adopted forecast methodology is known as</w:t>
      </w:r>
      <w:r w:rsidR="005456D6">
        <w:rPr>
          <w:rFonts w:ascii="Arial" w:hAnsi="Arial"/>
          <w:color w:val="000000"/>
          <w:sz w:val="20"/>
        </w:rPr>
        <w:t xml:space="preserve"> the “best estimate approach” and requires jurisdictional and non-jurisdictional </w:t>
      </w:r>
      <w:r w:rsidR="002F444C">
        <w:rPr>
          <w:rFonts w:ascii="Arial" w:hAnsi="Arial"/>
          <w:color w:val="000000"/>
          <w:sz w:val="20"/>
        </w:rPr>
        <w:t xml:space="preserve">LSEs to submit, on an annual basis, historical hourly </w:t>
      </w:r>
      <w:r w:rsidR="005456D6">
        <w:rPr>
          <w:rFonts w:ascii="Arial" w:hAnsi="Arial"/>
          <w:color w:val="000000"/>
          <w:sz w:val="20"/>
        </w:rPr>
        <w:t xml:space="preserve">peak </w:t>
      </w:r>
      <w:r w:rsidR="002F444C">
        <w:rPr>
          <w:rFonts w:ascii="Arial" w:hAnsi="Arial"/>
          <w:color w:val="000000"/>
          <w:sz w:val="20"/>
        </w:rPr>
        <w:t xml:space="preserve">load data for the </w:t>
      </w:r>
      <w:r w:rsidR="005456D6">
        <w:rPr>
          <w:rFonts w:ascii="Arial" w:hAnsi="Arial"/>
          <w:color w:val="000000"/>
          <w:sz w:val="20"/>
        </w:rPr>
        <w:t xml:space="preserve">preceding </w:t>
      </w:r>
      <w:r w:rsidR="002F444C">
        <w:rPr>
          <w:rFonts w:ascii="Arial" w:hAnsi="Arial"/>
          <w:color w:val="000000"/>
          <w:sz w:val="20"/>
        </w:rPr>
        <w:t xml:space="preserve">year and monthly </w:t>
      </w:r>
      <w:r w:rsidR="005456D6">
        <w:rPr>
          <w:rFonts w:ascii="Arial" w:hAnsi="Arial"/>
          <w:color w:val="000000"/>
          <w:sz w:val="20"/>
        </w:rPr>
        <w:t xml:space="preserve">energy and peak </w:t>
      </w:r>
      <w:r w:rsidR="002F444C">
        <w:rPr>
          <w:rFonts w:ascii="Arial" w:hAnsi="Arial"/>
          <w:color w:val="000000"/>
          <w:sz w:val="20"/>
        </w:rPr>
        <w:t xml:space="preserve">demand forecasts for the coming compliance </w:t>
      </w:r>
      <w:r w:rsidR="00D74559">
        <w:rPr>
          <w:rFonts w:ascii="Arial" w:hAnsi="Arial"/>
          <w:color w:val="000000"/>
          <w:sz w:val="20"/>
        </w:rPr>
        <w:t>year based</w:t>
      </w:r>
      <w:r w:rsidR="002F444C">
        <w:rPr>
          <w:rFonts w:ascii="Arial" w:hAnsi="Arial"/>
          <w:color w:val="000000"/>
          <w:sz w:val="20"/>
        </w:rPr>
        <w:t xml:space="preserve"> on reasonable assumptions for load growth and customer retention.  </w:t>
      </w:r>
      <w:r w:rsidR="006273E5">
        <w:rPr>
          <w:rFonts w:ascii="Arial" w:hAnsi="Arial"/>
          <w:color w:val="000000"/>
          <w:sz w:val="20"/>
        </w:rPr>
        <w:t>Following this annual LSE submission</w:t>
      </w:r>
      <w:r w:rsidR="00EA3119">
        <w:rPr>
          <w:rFonts w:ascii="Arial" w:hAnsi="Arial"/>
          <w:color w:val="000000"/>
          <w:sz w:val="20"/>
        </w:rPr>
        <w:t>, the</w:t>
      </w:r>
      <w:r w:rsidR="006273E5">
        <w:rPr>
          <w:rFonts w:ascii="Arial" w:hAnsi="Arial"/>
          <w:color w:val="000000"/>
          <w:sz w:val="20"/>
        </w:rPr>
        <w:t xml:space="preserve"> CEC makes a series of adjustments to the LSE submitted load forecasts before allocated the final load forecast to be used for RA compliance.   </w:t>
      </w:r>
    </w:p>
    <w:p w:rsidR="005456D6" w:rsidRDefault="00CF11E9" w:rsidP="00EE4BB6">
      <w:pPr>
        <w:autoSpaceDE w:val="0"/>
        <w:autoSpaceDN w:val="0"/>
        <w:adjustRightInd w:val="0"/>
        <w:spacing w:after="160" w:line="360" w:lineRule="auto"/>
        <w:ind w:firstLine="288"/>
        <w:jc w:val="both"/>
        <w:rPr>
          <w:rFonts w:ascii="Arial" w:hAnsi="Arial"/>
          <w:color w:val="000000"/>
          <w:sz w:val="20"/>
        </w:rPr>
      </w:pPr>
      <w:r>
        <w:rPr>
          <w:rFonts w:ascii="Arial" w:hAnsi="Arial"/>
          <w:color w:val="000000"/>
          <w:sz w:val="20"/>
        </w:rPr>
        <w:t>This paper is broken</w:t>
      </w:r>
      <w:r w:rsidR="000C6615">
        <w:rPr>
          <w:rFonts w:ascii="Arial" w:hAnsi="Arial"/>
          <w:color w:val="000000"/>
          <w:sz w:val="20"/>
        </w:rPr>
        <w:t xml:space="preserve"> into </w:t>
      </w:r>
      <w:r>
        <w:rPr>
          <w:rFonts w:ascii="Arial" w:hAnsi="Arial"/>
          <w:color w:val="000000"/>
          <w:sz w:val="20"/>
        </w:rPr>
        <w:t>four</w:t>
      </w:r>
      <w:r w:rsidR="000C6615">
        <w:rPr>
          <w:rFonts w:ascii="Arial" w:hAnsi="Arial"/>
          <w:color w:val="000000"/>
          <w:sz w:val="20"/>
        </w:rPr>
        <w:t xml:space="preserve"> parts.  The first section </w:t>
      </w:r>
      <w:r w:rsidR="00C967B3">
        <w:rPr>
          <w:rFonts w:ascii="Arial" w:hAnsi="Arial"/>
          <w:color w:val="000000"/>
          <w:sz w:val="20"/>
        </w:rPr>
        <w:t>briefly describe</w:t>
      </w:r>
      <w:r w:rsidR="000C6615">
        <w:rPr>
          <w:rFonts w:ascii="Arial" w:hAnsi="Arial"/>
          <w:color w:val="000000"/>
          <w:sz w:val="20"/>
        </w:rPr>
        <w:t>s</w:t>
      </w:r>
      <w:r>
        <w:rPr>
          <w:rFonts w:ascii="Arial" w:hAnsi="Arial"/>
          <w:color w:val="000000"/>
          <w:sz w:val="20"/>
        </w:rPr>
        <w:t xml:space="preserve"> the adjustment made</w:t>
      </w:r>
      <w:r w:rsidR="00C967B3">
        <w:rPr>
          <w:rFonts w:ascii="Arial" w:hAnsi="Arial"/>
          <w:color w:val="000000"/>
          <w:sz w:val="20"/>
        </w:rPr>
        <w:t xml:space="preserve"> to the each LSEs </w:t>
      </w:r>
      <w:r w:rsidR="00EA3119">
        <w:rPr>
          <w:rFonts w:ascii="Arial" w:hAnsi="Arial"/>
          <w:color w:val="000000"/>
          <w:sz w:val="20"/>
        </w:rPr>
        <w:t>year-ahead</w:t>
      </w:r>
      <w:r w:rsidR="00C967B3">
        <w:rPr>
          <w:rFonts w:ascii="Arial" w:hAnsi="Arial"/>
          <w:color w:val="000000"/>
          <w:sz w:val="20"/>
        </w:rPr>
        <w:t xml:space="preserve"> forecast to arrive at the </w:t>
      </w:r>
      <w:r w:rsidR="00E84937">
        <w:rPr>
          <w:rFonts w:ascii="Arial" w:hAnsi="Arial"/>
          <w:color w:val="000000"/>
          <w:sz w:val="20"/>
        </w:rPr>
        <w:t>final load forecast used for RA compliance.</w:t>
      </w:r>
      <w:r w:rsidR="000C6615">
        <w:rPr>
          <w:rFonts w:ascii="Arial" w:hAnsi="Arial"/>
          <w:color w:val="000000"/>
          <w:sz w:val="20"/>
        </w:rPr>
        <w:t xml:space="preserve"> The second section goes into greater detail on how the coincident adjustment methodology is done. The third section details the weather normalization methodology done to the CEC </w:t>
      </w:r>
      <w:r w:rsidR="00EA47A5">
        <w:rPr>
          <w:rFonts w:ascii="Arial" w:hAnsi="Arial"/>
          <w:color w:val="000000"/>
          <w:sz w:val="20"/>
        </w:rPr>
        <w:t>short-</w:t>
      </w:r>
      <w:r w:rsidR="00B64BC7">
        <w:rPr>
          <w:rFonts w:ascii="Arial" w:hAnsi="Arial"/>
          <w:color w:val="000000"/>
          <w:sz w:val="20"/>
        </w:rPr>
        <w:t xml:space="preserve">term load </w:t>
      </w:r>
      <w:r w:rsidR="000C6615">
        <w:rPr>
          <w:rFonts w:ascii="Arial" w:hAnsi="Arial"/>
          <w:color w:val="000000"/>
          <w:sz w:val="20"/>
        </w:rPr>
        <w:t xml:space="preserve">forecast. And the final section reviews the pending implementation issues.  </w:t>
      </w:r>
    </w:p>
    <w:p w:rsidR="000C6615" w:rsidRPr="00CF11E9" w:rsidRDefault="000C6615" w:rsidP="00E01841">
      <w:pPr>
        <w:pStyle w:val="ListParagraph"/>
        <w:numPr>
          <w:ilvl w:val="0"/>
          <w:numId w:val="15"/>
        </w:numPr>
        <w:autoSpaceDE w:val="0"/>
        <w:autoSpaceDN w:val="0"/>
        <w:adjustRightInd w:val="0"/>
        <w:spacing w:after="160" w:line="360" w:lineRule="auto"/>
        <w:ind w:left="0" w:firstLine="0"/>
        <w:contextualSpacing w:val="0"/>
        <w:rPr>
          <w:rFonts w:ascii="Arial" w:hAnsi="Arial"/>
          <w:b/>
          <w:color w:val="000000"/>
          <w:sz w:val="20"/>
        </w:rPr>
      </w:pPr>
      <w:r w:rsidRPr="00CF11E9">
        <w:rPr>
          <w:rFonts w:ascii="Arial" w:hAnsi="Arial"/>
          <w:b/>
          <w:color w:val="000000"/>
          <w:sz w:val="20"/>
        </w:rPr>
        <w:t xml:space="preserve">Adjustments made to </w:t>
      </w:r>
      <w:r w:rsidR="00E244BE">
        <w:rPr>
          <w:rFonts w:ascii="Arial" w:hAnsi="Arial"/>
          <w:b/>
          <w:color w:val="000000"/>
          <w:sz w:val="20"/>
        </w:rPr>
        <w:t xml:space="preserve">CPUC- </w:t>
      </w:r>
      <w:r w:rsidR="006A7C3F">
        <w:rPr>
          <w:rFonts w:ascii="Arial" w:hAnsi="Arial"/>
          <w:b/>
          <w:color w:val="000000"/>
          <w:sz w:val="20"/>
        </w:rPr>
        <w:t>j</w:t>
      </w:r>
      <w:r w:rsidR="00E244BE">
        <w:rPr>
          <w:rFonts w:ascii="Arial" w:hAnsi="Arial"/>
          <w:b/>
          <w:color w:val="000000"/>
          <w:sz w:val="20"/>
        </w:rPr>
        <w:t xml:space="preserve">urisdictional </w:t>
      </w:r>
      <w:r w:rsidRPr="00CF11E9">
        <w:rPr>
          <w:rFonts w:ascii="Arial" w:hAnsi="Arial"/>
          <w:b/>
          <w:color w:val="000000"/>
          <w:sz w:val="20"/>
        </w:rPr>
        <w:t xml:space="preserve">LSE </w:t>
      </w:r>
      <w:r w:rsidR="006A7C3F">
        <w:rPr>
          <w:rFonts w:ascii="Arial" w:hAnsi="Arial"/>
          <w:b/>
          <w:color w:val="000000"/>
          <w:sz w:val="20"/>
        </w:rPr>
        <w:t>y</w:t>
      </w:r>
      <w:r w:rsidR="006A7C3F" w:rsidRPr="00CF11E9">
        <w:rPr>
          <w:rFonts w:ascii="Arial" w:hAnsi="Arial"/>
          <w:b/>
          <w:color w:val="000000"/>
          <w:sz w:val="20"/>
        </w:rPr>
        <w:t>ear</w:t>
      </w:r>
      <w:r w:rsidRPr="00CF11E9">
        <w:rPr>
          <w:rFonts w:ascii="Arial" w:hAnsi="Arial"/>
          <w:b/>
          <w:color w:val="000000"/>
          <w:sz w:val="20"/>
        </w:rPr>
        <w:t>-</w:t>
      </w:r>
      <w:r w:rsidR="006A7C3F">
        <w:rPr>
          <w:rFonts w:ascii="Arial" w:hAnsi="Arial"/>
          <w:b/>
          <w:color w:val="000000"/>
          <w:sz w:val="20"/>
        </w:rPr>
        <w:t>a</w:t>
      </w:r>
      <w:r w:rsidR="006A7C3F" w:rsidRPr="00CF11E9">
        <w:rPr>
          <w:rFonts w:ascii="Arial" w:hAnsi="Arial"/>
          <w:b/>
          <w:color w:val="000000"/>
          <w:sz w:val="20"/>
        </w:rPr>
        <w:t xml:space="preserve">head </w:t>
      </w:r>
      <w:r w:rsidRPr="00CF11E9">
        <w:rPr>
          <w:rFonts w:ascii="Arial" w:hAnsi="Arial"/>
          <w:b/>
          <w:color w:val="000000"/>
          <w:sz w:val="20"/>
        </w:rPr>
        <w:t>forecasts</w:t>
      </w:r>
    </w:p>
    <w:p w:rsidR="00A360E4" w:rsidRPr="00A360E4" w:rsidRDefault="00E84937" w:rsidP="00A360E4">
      <w:pPr>
        <w:pStyle w:val="ListParagraph"/>
        <w:numPr>
          <w:ilvl w:val="0"/>
          <w:numId w:val="14"/>
        </w:numPr>
        <w:autoSpaceDE w:val="0"/>
        <w:autoSpaceDN w:val="0"/>
        <w:adjustRightInd w:val="0"/>
        <w:spacing w:after="160" w:line="360" w:lineRule="auto"/>
        <w:jc w:val="both"/>
        <w:rPr>
          <w:rFonts w:ascii="Arial" w:hAnsi="Arial"/>
          <w:color w:val="000000"/>
          <w:sz w:val="20"/>
        </w:rPr>
      </w:pPr>
      <w:r>
        <w:rPr>
          <w:rFonts w:ascii="Arial" w:hAnsi="Arial"/>
          <w:color w:val="000000"/>
          <w:sz w:val="20"/>
        </w:rPr>
        <w:t>C</w:t>
      </w:r>
      <w:r w:rsidR="00F13146" w:rsidRPr="00E84937">
        <w:rPr>
          <w:rFonts w:ascii="Arial" w:hAnsi="Arial"/>
          <w:color w:val="000000"/>
          <w:sz w:val="20"/>
        </w:rPr>
        <w:t>oincident adjustment</w:t>
      </w:r>
      <w:r w:rsidR="00EA3119">
        <w:rPr>
          <w:rFonts w:ascii="Arial" w:hAnsi="Arial"/>
          <w:color w:val="000000"/>
          <w:sz w:val="20"/>
        </w:rPr>
        <w:t xml:space="preserve"> </w:t>
      </w:r>
      <w:r>
        <w:rPr>
          <w:rFonts w:ascii="Arial" w:hAnsi="Arial"/>
          <w:color w:val="000000"/>
          <w:sz w:val="20"/>
        </w:rPr>
        <w:t>- The CEC first calculates LSE specific monthly coincident</w:t>
      </w:r>
      <w:r w:rsidR="00F13146" w:rsidRPr="00E84937">
        <w:rPr>
          <w:rFonts w:ascii="Arial" w:hAnsi="Arial"/>
          <w:color w:val="000000"/>
          <w:sz w:val="20"/>
        </w:rPr>
        <w:t xml:space="preserve"> factor</w:t>
      </w:r>
      <w:r w:rsidR="00B92118" w:rsidRPr="00E84937">
        <w:rPr>
          <w:rFonts w:ascii="Arial" w:hAnsi="Arial"/>
          <w:color w:val="000000"/>
          <w:sz w:val="20"/>
        </w:rPr>
        <w:t>s</w:t>
      </w:r>
      <w:r w:rsidR="00007B02">
        <w:rPr>
          <w:rStyle w:val="FootnoteReference"/>
          <w:rFonts w:ascii="Arial" w:hAnsi="Arial"/>
          <w:color w:val="000000"/>
          <w:sz w:val="20"/>
        </w:rPr>
        <w:footnoteReference w:id="1"/>
      </w:r>
      <w:r>
        <w:rPr>
          <w:rFonts w:ascii="Arial" w:hAnsi="Arial"/>
          <w:color w:val="000000"/>
          <w:sz w:val="20"/>
        </w:rPr>
        <w:t xml:space="preserve"> </w:t>
      </w:r>
      <w:r w:rsidR="00F13146" w:rsidRPr="00E84937">
        <w:rPr>
          <w:rFonts w:ascii="Arial" w:hAnsi="Arial"/>
          <w:color w:val="000000"/>
          <w:sz w:val="20"/>
        </w:rPr>
        <w:t xml:space="preserve">using </w:t>
      </w:r>
      <w:r w:rsidR="007816AC" w:rsidRPr="00E84937">
        <w:rPr>
          <w:rFonts w:ascii="Arial" w:hAnsi="Arial"/>
          <w:color w:val="000000"/>
          <w:sz w:val="20"/>
        </w:rPr>
        <w:t xml:space="preserve">historic </w:t>
      </w:r>
      <w:r w:rsidR="00F13146" w:rsidRPr="00E84937">
        <w:rPr>
          <w:rFonts w:ascii="Arial" w:hAnsi="Arial"/>
          <w:color w:val="000000"/>
          <w:sz w:val="20"/>
        </w:rPr>
        <w:t>hourly load</w:t>
      </w:r>
      <w:r w:rsidR="007816AC" w:rsidRPr="00E84937">
        <w:rPr>
          <w:rFonts w:ascii="Arial" w:hAnsi="Arial"/>
          <w:color w:val="000000"/>
          <w:sz w:val="20"/>
        </w:rPr>
        <w:t xml:space="preserve"> data</w:t>
      </w:r>
      <w:r>
        <w:rPr>
          <w:rFonts w:ascii="Arial" w:hAnsi="Arial"/>
          <w:color w:val="000000"/>
          <w:sz w:val="20"/>
        </w:rPr>
        <w:t xml:space="preserve"> (filed by the LSE).</w:t>
      </w:r>
      <w:r w:rsidR="007E7F73" w:rsidRPr="00E84937">
        <w:rPr>
          <w:rFonts w:ascii="Arial" w:hAnsi="Arial"/>
          <w:color w:val="000000"/>
          <w:sz w:val="20"/>
        </w:rPr>
        <w:t xml:space="preserve"> The adjustment factor</w:t>
      </w:r>
      <w:r w:rsidR="007816AC" w:rsidRPr="00E84937">
        <w:rPr>
          <w:rFonts w:ascii="Arial" w:hAnsi="Arial"/>
          <w:color w:val="000000"/>
          <w:sz w:val="20"/>
        </w:rPr>
        <w:t>s</w:t>
      </w:r>
      <w:r w:rsidR="007E7F73" w:rsidRPr="00E84937">
        <w:rPr>
          <w:rFonts w:ascii="Arial" w:hAnsi="Arial"/>
          <w:color w:val="000000"/>
          <w:sz w:val="20"/>
        </w:rPr>
        <w:t xml:space="preserve"> </w:t>
      </w:r>
      <w:r w:rsidR="007816AC" w:rsidRPr="00E84937">
        <w:rPr>
          <w:rFonts w:ascii="Arial" w:hAnsi="Arial"/>
          <w:color w:val="000000"/>
          <w:sz w:val="20"/>
        </w:rPr>
        <w:t>are</w:t>
      </w:r>
      <w:r w:rsidR="007E7F73" w:rsidRPr="00E84937">
        <w:rPr>
          <w:rFonts w:ascii="Arial" w:hAnsi="Arial"/>
          <w:color w:val="000000"/>
          <w:sz w:val="20"/>
        </w:rPr>
        <w:t xml:space="preserve"> calculated by comparing each LSE</w:t>
      </w:r>
      <w:r w:rsidR="00F13146" w:rsidRPr="00E84937">
        <w:rPr>
          <w:rFonts w:ascii="Arial" w:hAnsi="Arial"/>
          <w:color w:val="000000"/>
          <w:sz w:val="20"/>
        </w:rPr>
        <w:t>’s</w:t>
      </w:r>
      <w:r w:rsidR="007E7F73" w:rsidRPr="00E84937">
        <w:rPr>
          <w:rFonts w:ascii="Arial" w:hAnsi="Arial"/>
          <w:color w:val="000000"/>
          <w:sz w:val="20"/>
        </w:rPr>
        <w:t xml:space="preserve"> </w:t>
      </w:r>
      <w:r>
        <w:rPr>
          <w:rFonts w:ascii="Arial" w:hAnsi="Arial"/>
          <w:color w:val="000000"/>
          <w:sz w:val="20"/>
        </w:rPr>
        <w:t xml:space="preserve">historic </w:t>
      </w:r>
      <w:r w:rsidR="007E7F73" w:rsidRPr="00E84937">
        <w:rPr>
          <w:rFonts w:ascii="Arial" w:hAnsi="Arial"/>
          <w:color w:val="000000"/>
          <w:sz w:val="20"/>
        </w:rPr>
        <w:t xml:space="preserve">hourly peak loads to the </w:t>
      </w:r>
      <w:r>
        <w:rPr>
          <w:rFonts w:ascii="Arial" w:hAnsi="Arial"/>
          <w:color w:val="000000"/>
          <w:sz w:val="20"/>
        </w:rPr>
        <w:t xml:space="preserve">historic </w:t>
      </w:r>
      <w:r w:rsidR="007E7F73" w:rsidRPr="00E84937">
        <w:rPr>
          <w:rFonts w:ascii="Arial" w:hAnsi="Arial"/>
          <w:color w:val="000000"/>
          <w:sz w:val="20"/>
        </w:rPr>
        <w:t>coincident California Independent System Operator (CAISO) hourly peak loads</w:t>
      </w:r>
      <w:r w:rsidR="00AC1A87">
        <w:rPr>
          <w:rFonts w:ascii="Arial" w:hAnsi="Arial"/>
          <w:color w:val="000000"/>
          <w:sz w:val="20"/>
        </w:rPr>
        <w:t xml:space="preserve">. </w:t>
      </w:r>
      <w:r>
        <w:rPr>
          <w:rFonts w:ascii="Arial" w:hAnsi="Arial"/>
          <w:color w:val="000000"/>
          <w:sz w:val="20"/>
        </w:rPr>
        <w:t xml:space="preserve">These factors are used </w:t>
      </w:r>
      <w:r w:rsidR="007E7F73" w:rsidRPr="00E84937">
        <w:rPr>
          <w:rFonts w:ascii="Arial" w:hAnsi="Arial"/>
          <w:color w:val="000000"/>
          <w:sz w:val="20"/>
        </w:rPr>
        <w:t>to make each LSE’s peak load forecast reflective of the LSE’s contribution to load at the time of CAISO’s peak load.</w:t>
      </w:r>
    </w:p>
    <w:p w:rsidR="006764A9" w:rsidRPr="006764A9" w:rsidRDefault="00E84937" w:rsidP="006764A9">
      <w:pPr>
        <w:pStyle w:val="ListParagraph"/>
        <w:numPr>
          <w:ilvl w:val="0"/>
          <w:numId w:val="14"/>
        </w:numPr>
        <w:autoSpaceDE w:val="0"/>
        <w:autoSpaceDN w:val="0"/>
        <w:adjustRightInd w:val="0"/>
        <w:spacing w:after="160" w:line="360" w:lineRule="auto"/>
        <w:jc w:val="both"/>
        <w:rPr>
          <w:rFonts w:ascii="Arial" w:hAnsi="Arial"/>
          <w:color w:val="000000"/>
          <w:sz w:val="20"/>
        </w:rPr>
      </w:pPr>
      <w:r w:rsidRPr="006764A9">
        <w:rPr>
          <w:rFonts w:ascii="Arial" w:hAnsi="Arial"/>
          <w:color w:val="000000"/>
          <w:sz w:val="20"/>
        </w:rPr>
        <w:t xml:space="preserve">CEC Adjustment for difference in </w:t>
      </w:r>
      <w:r w:rsidR="002A6AD7">
        <w:rPr>
          <w:rFonts w:ascii="Arial" w:hAnsi="Arial"/>
          <w:color w:val="000000"/>
          <w:sz w:val="20"/>
        </w:rPr>
        <w:t>s</w:t>
      </w:r>
      <w:r w:rsidRPr="006764A9">
        <w:rPr>
          <w:rFonts w:ascii="Arial" w:hAnsi="Arial"/>
          <w:color w:val="000000"/>
          <w:sz w:val="20"/>
        </w:rPr>
        <w:t xml:space="preserve">ervice </w:t>
      </w:r>
      <w:r w:rsidR="002A6AD7">
        <w:rPr>
          <w:rFonts w:ascii="Arial" w:hAnsi="Arial"/>
          <w:color w:val="000000"/>
          <w:sz w:val="20"/>
        </w:rPr>
        <w:t>a</w:t>
      </w:r>
      <w:r w:rsidRPr="006764A9">
        <w:rPr>
          <w:rFonts w:ascii="Arial" w:hAnsi="Arial"/>
          <w:color w:val="000000"/>
          <w:sz w:val="20"/>
        </w:rPr>
        <w:t>rea forecasts</w:t>
      </w:r>
      <w:r w:rsidR="002A6AD7">
        <w:rPr>
          <w:rFonts w:ascii="Arial" w:hAnsi="Arial"/>
          <w:color w:val="000000"/>
          <w:sz w:val="20"/>
        </w:rPr>
        <w:t xml:space="preserve"> (plausibility a</w:t>
      </w:r>
      <w:r w:rsidR="008A3475" w:rsidRPr="006764A9">
        <w:rPr>
          <w:rFonts w:ascii="Arial" w:hAnsi="Arial"/>
          <w:color w:val="000000"/>
          <w:sz w:val="20"/>
        </w:rPr>
        <w:t>djustment)</w:t>
      </w:r>
      <w:r w:rsidR="00AC1A87">
        <w:rPr>
          <w:rFonts w:ascii="Arial" w:hAnsi="Arial"/>
          <w:color w:val="000000"/>
          <w:sz w:val="20"/>
        </w:rPr>
        <w:t xml:space="preserve"> </w:t>
      </w:r>
      <w:r w:rsidRPr="006764A9">
        <w:rPr>
          <w:rFonts w:ascii="Arial" w:hAnsi="Arial"/>
          <w:color w:val="000000"/>
          <w:sz w:val="20"/>
        </w:rPr>
        <w:t xml:space="preserve">- The </w:t>
      </w:r>
      <w:r w:rsidR="007E7F73" w:rsidRPr="006764A9">
        <w:rPr>
          <w:rFonts w:ascii="Arial" w:hAnsi="Arial"/>
          <w:color w:val="000000"/>
          <w:sz w:val="20"/>
        </w:rPr>
        <w:t xml:space="preserve">CEC </w:t>
      </w:r>
      <w:r w:rsidR="008A3475" w:rsidRPr="006764A9">
        <w:rPr>
          <w:rFonts w:ascii="Arial" w:hAnsi="Arial"/>
          <w:color w:val="000000"/>
          <w:sz w:val="20"/>
        </w:rPr>
        <w:t xml:space="preserve">then </w:t>
      </w:r>
      <w:r w:rsidR="007E7F73" w:rsidRPr="006764A9">
        <w:rPr>
          <w:rFonts w:ascii="Arial" w:hAnsi="Arial"/>
          <w:color w:val="000000"/>
          <w:sz w:val="20"/>
        </w:rPr>
        <w:t xml:space="preserve">reconciles the aggregate of </w:t>
      </w:r>
      <w:r w:rsidR="007816AC" w:rsidRPr="006764A9">
        <w:rPr>
          <w:rFonts w:ascii="Arial" w:hAnsi="Arial"/>
          <w:color w:val="000000"/>
          <w:sz w:val="20"/>
        </w:rPr>
        <w:t xml:space="preserve">the </w:t>
      </w:r>
      <w:r w:rsidR="007E7F73" w:rsidRPr="006764A9">
        <w:rPr>
          <w:rFonts w:ascii="Arial" w:hAnsi="Arial"/>
          <w:color w:val="000000"/>
          <w:sz w:val="20"/>
        </w:rPr>
        <w:t>j</w:t>
      </w:r>
      <w:r w:rsidR="00FE7D2E" w:rsidRPr="006764A9">
        <w:rPr>
          <w:rFonts w:ascii="Arial" w:hAnsi="Arial"/>
          <w:color w:val="000000"/>
          <w:sz w:val="20"/>
        </w:rPr>
        <w:t>urisdictional LSEs monthly peak l</w:t>
      </w:r>
      <w:r w:rsidR="007E7F73" w:rsidRPr="006764A9">
        <w:rPr>
          <w:rFonts w:ascii="Arial" w:hAnsi="Arial"/>
          <w:color w:val="000000"/>
          <w:sz w:val="20"/>
        </w:rPr>
        <w:t>oad forecasts</w:t>
      </w:r>
      <w:r w:rsidR="007816AC" w:rsidRPr="006764A9">
        <w:rPr>
          <w:rFonts w:ascii="Arial" w:hAnsi="Arial"/>
          <w:color w:val="000000"/>
          <w:sz w:val="20"/>
        </w:rPr>
        <w:t xml:space="preserve"> against the CEC’s monthly one-in-two, short-term, weather normalized</w:t>
      </w:r>
      <w:r w:rsidR="008E6EEF">
        <w:rPr>
          <w:rStyle w:val="FootnoteReference"/>
          <w:rFonts w:ascii="Arial" w:hAnsi="Arial"/>
          <w:color w:val="000000"/>
          <w:sz w:val="20"/>
        </w:rPr>
        <w:footnoteReference w:id="2"/>
      </w:r>
      <w:r w:rsidR="007816AC" w:rsidRPr="006764A9">
        <w:rPr>
          <w:rFonts w:ascii="Arial" w:hAnsi="Arial"/>
          <w:color w:val="000000"/>
          <w:sz w:val="20"/>
        </w:rPr>
        <w:t xml:space="preserve"> peak-load forecast, </w:t>
      </w:r>
      <w:r w:rsidR="00FE7D2E" w:rsidRPr="006764A9">
        <w:rPr>
          <w:rFonts w:ascii="Arial" w:hAnsi="Arial"/>
          <w:color w:val="000000"/>
          <w:sz w:val="20"/>
        </w:rPr>
        <w:t xml:space="preserve">for each investor owned </w:t>
      </w:r>
      <w:r w:rsidR="00FE7D2E" w:rsidRPr="006764A9">
        <w:rPr>
          <w:rFonts w:ascii="Arial" w:hAnsi="Arial"/>
          <w:color w:val="000000"/>
          <w:sz w:val="20"/>
        </w:rPr>
        <w:lastRenderedPageBreak/>
        <w:t xml:space="preserve">utility (IOU) service </w:t>
      </w:r>
      <w:r w:rsidR="004728A0" w:rsidRPr="006764A9">
        <w:rPr>
          <w:rFonts w:ascii="Arial" w:hAnsi="Arial"/>
          <w:color w:val="000000"/>
          <w:sz w:val="20"/>
        </w:rPr>
        <w:t>area</w:t>
      </w:r>
      <w:r w:rsidR="007816AC" w:rsidRPr="006764A9">
        <w:rPr>
          <w:rFonts w:ascii="Arial" w:hAnsi="Arial"/>
          <w:color w:val="000000"/>
          <w:sz w:val="20"/>
        </w:rPr>
        <w:t>.</w:t>
      </w:r>
      <w:r w:rsidR="006764A9" w:rsidRPr="006764A9">
        <w:rPr>
          <w:rFonts w:ascii="Arial" w:hAnsi="Arial"/>
          <w:color w:val="000000"/>
          <w:sz w:val="20"/>
        </w:rPr>
        <w:t xml:space="preserve"> This is done to evaluate the reasonableness of the LSEs forecasts.</w:t>
      </w:r>
      <w:r w:rsidR="007816AC" w:rsidRPr="006764A9">
        <w:rPr>
          <w:rFonts w:ascii="Arial" w:hAnsi="Arial"/>
          <w:color w:val="000000"/>
          <w:sz w:val="20"/>
        </w:rPr>
        <w:t xml:space="preserve"> The CEC forecast, used in this reconciliation, is </w:t>
      </w:r>
      <w:r w:rsidR="007E7F73" w:rsidRPr="006764A9">
        <w:rPr>
          <w:rFonts w:ascii="Arial" w:hAnsi="Arial"/>
          <w:color w:val="000000"/>
          <w:sz w:val="20"/>
        </w:rPr>
        <w:t>adjusted for</w:t>
      </w:r>
      <w:r w:rsidR="007816AC" w:rsidRPr="006764A9">
        <w:rPr>
          <w:rFonts w:ascii="Arial" w:hAnsi="Arial"/>
          <w:color w:val="000000"/>
          <w:sz w:val="20"/>
        </w:rPr>
        <w:t>;</w:t>
      </w:r>
      <w:r w:rsidR="007E7F73" w:rsidRPr="006764A9">
        <w:rPr>
          <w:rFonts w:ascii="Arial" w:hAnsi="Arial"/>
          <w:color w:val="000000"/>
          <w:sz w:val="20"/>
        </w:rPr>
        <w:t xml:space="preserve"> coincidence, incremental effects of energy efficiency, demand response progr</w:t>
      </w:r>
      <w:r w:rsidR="00314E83" w:rsidRPr="006764A9">
        <w:rPr>
          <w:rFonts w:ascii="Arial" w:hAnsi="Arial"/>
          <w:color w:val="000000"/>
          <w:sz w:val="20"/>
        </w:rPr>
        <w:t>ams, and distributed generation</w:t>
      </w:r>
      <w:r w:rsidR="00FE7D2E" w:rsidRPr="006764A9">
        <w:rPr>
          <w:rFonts w:ascii="Arial" w:hAnsi="Arial"/>
          <w:color w:val="000000"/>
          <w:sz w:val="20"/>
        </w:rPr>
        <w:t xml:space="preserve">. </w:t>
      </w:r>
      <w:r w:rsidR="00B4068A" w:rsidRPr="006764A9">
        <w:rPr>
          <w:rFonts w:ascii="Arial" w:hAnsi="Arial"/>
          <w:color w:val="000000"/>
          <w:sz w:val="20"/>
        </w:rPr>
        <w:t xml:space="preserve">As a part of the reconciliation the </w:t>
      </w:r>
      <w:r w:rsidR="009664E0" w:rsidRPr="006764A9">
        <w:rPr>
          <w:rFonts w:ascii="Arial" w:hAnsi="Arial"/>
          <w:color w:val="000000"/>
          <w:sz w:val="20"/>
        </w:rPr>
        <w:t xml:space="preserve">CEC </w:t>
      </w:r>
      <w:r w:rsidR="00B4068A" w:rsidRPr="006764A9">
        <w:rPr>
          <w:rFonts w:ascii="Arial" w:hAnsi="Arial"/>
          <w:color w:val="000000"/>
          <w:sz w:val="20"/>
        </w:rPr>
        <w:t xml:space="preserve">may </w:t>
      </w:r>
      <w:r w:rsidR="009664E0" w:rsidRPr="006764A9">
        <w:rPr>
          <w:rFonts w:ascii="Arial" w:hAnsi="Arial"/>
          <w:color w:val="000000"/>
          <w:sz w:val="20"/>
        </w:rPr>
        <w:t>adjust</w:t>
      </w:r>
      <w:r w:rsidR="00B4068A" w:rsidRPr="006764A9">
        <w:rPr>
          <w:rFonts w:ascii="Arial" w:hAnsi="Arial"/>
          <w:color w:val="000000"/>
          <w:sz w:val="20"/>
        </w:rPr>
        <w:t xml:space="preserve"> individual</w:t>
      </w:r>
      <w:r w:rsidR="009664E0" w:rsidRPr="006764A9">
        <w:rPr>
          <w:rFonts w:ascii="Arial" w:hAnsi="Arial"/>
          <w:color w:val="000000"/>
          <w:sz w:val="20"/>
        </w:rPr>
        <w:t xml:space="preserve"> </w:t>
      </w:r>
      <w:r w:rsidR="00FE7D2E" w:rsidRPr="006764A9">
        <w:rPr>
          <w:rFonts w:ascii="Arial" w:hAnsi="Arial"/>
          <w:color w:val="000000"/>
          <w:sz w:val="20"/>
        </w:rPr>
        <w:t>IOU</w:t>
      </w:r>
      <w:r w:rsidR="00B4068A" w:rsidRPr="006764A9">
        <w:rPr>
          <w:rFonts w:ascii="Arial" w:hAnsi="Arial"/>
          <w:color w:val="000000"/>
          <w:sz w:val="20"/>
        </w:rPr>
        <w:t xml:space="preserve"> forecasts,</w:t>
      </w:r>
      <w:r w:rsidR="009664E0" w:rsidRPr="006764A9">
        <w:rPr>
          <w:rFonts w:ascii="Arial" w:hAnsi="Arial"/>
          <w:color w:val="000000"/>
          <w:sz w:val="20"/>
        </w:rPr>
        <w:t xml:space="preserve"> if</w:t>
      </w:r>
      <w:r w:rsidR="00B4068A" w:rsidRPr="006764A9">
        <w:rPr>
          <w:rFonts w:ascii="Arial" w:hAnsi="Arial"/>
          <w:color w:val="000000"/>
          <w:sz w:val="20"/>
        </w:rPr>
        <w:t xml:space="preserve"> the</w:t>
      </w:r>
      <w:r w:rsidR="00631204" w:rsidRPr="006764A9">
        <w:rPr>
          <w:rFonts w:ascii="Arial" w:hAnsi="Arial"/>
          <w:color w:val="000000"/>
          <w:sz w:val="20"/>
        </w:rPr>
        <w:t xml:space="preserve"> aggregate</w:t>
      </w:r>
      <w:r w:rsidR="009664E0" w:rsidRPr="006764A9">
        <w:rPr>
          <w:rFonts w:ascii="Arial" w:hAnsi="Arial"/>
          <w:color w:val="000000"/>
          <w:sz w:val="20"/>
        </w:rPr>
        <w:t xml:space="preserve"> LSE forecasts are signific</w:t>
      </w:r>
      <w:r w:rsidR="00FE7D2E" w:rsidRPr="006764A9">
        <w:rPr>
          <w:rFonts w:ascii="Arial" w:hAnsi="Arial"/>
          <w:color w:val="000000"/>
          <w:sz w:val="20"/>
        </w:rPr>
        <w:t>antly inconsistent with CEC’s forecasts for reasons other than load migration.</w:t>
      </w:r>
      <w:r w:rsidR="00631204" w:rsidRPr="006764A9">
        <w:rPr>
          <w:rFonts w:ascii="Arial" w:hAnsi="Arial"/>
          <w:color w:val="000000"/>
          <w:sz w:val="20"/>
        </w:rPr>
        <w:t xml:space="preserve"> </w:t>
      </w:r>
      <w:r w:rsidR="00B4068A" w:rsidRPr="006764A9">
        <w:rPr>
          <w:rFonts w:ascii="Arial" w:hAnsi="Arial"/>
          <w:color w:val="000000"/>
          <w:sz w:val="20"/>
        </w:rPr>
        <w:t xml:space="preserve">Additionally, the </w:t>
      </w:r>
      <w:r w:rsidR="00631204" w:rsidRPr="006764A9">
        <w:rPr>
          <w:rFonts w:ascii="Arial" w:hAnsi="Arial"/>
          <w:color w:val="000000"/>
          <w:sz w:val="20"/>
        </w:rPr>
        <w:t>CEC compares</w:t>
      </w:r>
      <w:r w:rsidR="00314E83" w:rsidRPr="006764A9">
        <w:rPr>
          <w:rFonts w:ascii="Arial" w:hAnsi="Arial"/>
          <w:color w:val="000000"/>
          <w:sz w:val="20"/>
        </w:rPr>
        <w:t xml:space="preserve"> </w:t>
      </w:r>
      <w:r w:rsidR="00631204" w:rsidRPr="006764A9">
        <w:rPr>
          <w:rFonts w:ascii="Arial" w:hAnsi="Arial"/>
          <w:color w:val="000000"/>
          <w:sz w:val="20"/>
        </w:rPr>
        <w:t>individual</w:t>
      </w:r>
      <w:r w:rsidR="00B4068A" w:rsidRPr="006764A9">
        <w:rPr>
          <w:rFonts w:ascii="Arial" w:hAnsi="Arial"/>
          <w:color w:val="000000"/>
          <w:sz w:val="20"/>
        </w:rPr>
        <w:t xml:space="preserve"> </w:t>
      </w:r>
      <w:r w:rsidR="00631204" w:rsidRPr="006764A9">
        <w:rPr>
          <w:rFonts w:ascii="Arial" w:hAnsi="Arial"/>
          <w:color w:val="000000"/>
          <w:sz w:val="20"/>
        </w:rPr>
        <w:t>LSE</w:t>
      </w:r>
      <w:r w:rsidR="00314E83" w:rsidRPr="006764A9">
        <w:rPr>
          <w:rFonts w:ascii="Arial" w:hAnsi="Arial"/>
          <w:color w:val="000000"/>
          <w:sz w:val="20"/>
        </w:rPr>
        <w:t xml:space="preserve"> forecasts t</w:t>
      </w:r>
      <w:r w:rsidR="00A558A9" w:rsidRPr="006764A9">
        <w:rPr>
          <w:rFonts w:ascii="Arial" w:hAnsi="Arial"/>
          <w:color w:val="000000"/>
          <w:sz w:val="20"/>
        </w:rPr>
        <w:t xml:space="preserve">o current peak demand estimates, </w:t>
      </w:r>
      <w:r w:rsidR="00B4068A" w:rsidRPr="006764A9">
        <w:rPr>
          <w:rFonts w:ascii="Arial" w:hAnsi="Arial"/>
          <w:color w:val="000000"/>
          <w:sz w:val="20"/>
        </w:rPr>
        <w:t>(</w:t>
      </w:r>
      <w:r w:rsidR="00314E83" w:rsidRPr="006764A9">
        <w:rPr>
          <w:rFonts w:ascii="Arial" w:hAnsi="Arial"/>
          <w:color w:val="000000"/>
          <w:sz w:val="20"/>
        </w:rPr>
        <w:t>i.e., August mont</w:t>
      </w:r>
      <w:r w:rsidR="00631204" w:rsidRPr="006764A9">
        <w:rPr>
          <w:rFonts w:ascii="Arial" w:hAnsi="Arial"/>
          <w:color w:val="000000"/>
          <w:sz w:val="20"/>
        </w:rPr>
        <w:t>h ahead forecast</w:t>
      </w:r>
      <w:r w:rsidR="00B4068A" w:rsidRPr="006764A9">
        <w:rPr>
          <w:rFonts w:ascii="Arial" w:hAnsi="Arial"/>
          <w:color w:val="000000"/>
          <w:sz w:val="20"/>
        </w:rPr>
        <w:t xml:space="preserve">) </w:t>
      </w:r>
      <w:r w:rsidR="00631204" w:rsidRPr="006764A9">
        <w:rPr>
          <w:rFonts w:ascii="Arial" w:hAnsi="Arial"/>
          <w:color w:val="000000"/>
          <w:sz w:val="20"/>
        </w:rPr>
        <w:t>and adjust</w:t>
      </w:r>
      <w:r w:rsidR="00B4068A" w:rsidRPr="006764A9">
        <w:rPr>
          <w:rFonts w:ascii="Arial" w:hAnsi="Arial"/>
          <w:color w:val="000000"/>
          <w:sz w:val="20"/>
        </w:rPr>
        <w:t>s</w:t>
      </w:r>
      <w:r w:rsidR="00314E83" w:rsidRPr="006764A9">
        <w:rPr>
          <w:rFonts w:ascii="Arial" w:hAnsi="Arial"/>
          <w:color w:val="000000"/>
          <w:sz w:val="20"/>
        </w:rPr>
        <w:t xml:space="preserve"> them if the difference is greater than </w:t>
      </w:r>
      <w:r w:rsidR="008C17B1">
        <w:rPr>
          <w:rFonts w:ascii="Arial" w:hAnsi="Arial"/>
          <w:color w:val="000000"/>
          <w:sz w:val="20"/>
        </w:rPr>
        <w:t>a</w:t>
      </w:r>
      <w:r w:rsidR="00314E83" w:rsidRPr="006764A9">
        <w:rPr>
          <w:rFonts w:ascii="Arial" w:hAnsi="Arial"/>
          <w:color w:val="000000"/>
          <w:sz w:val="20"/>
        </w:rPr>
        <w:t xml:space="preserve"> tolerance threshold.</w:t>
      </w:r>
      <w:r w:rsidR="00631204" w:rsidRPr="006764A9">
        <w:rPr>
          <w:rFonts w:ascii="Arial" w:hAnsi="Arial"/>
          <w:color w:val="000000"/>
          <w:sz w:val="20"/>
        </w:rPr>
        <w:t xml:space="preserve"> </w:t>
      </w:r>
    </w:p>
    <w:p w:rsidR="006764A9" w:rsidRDefault="006764A9" w:rsidP="000C6615">
      <w:pPr>
        <w:pStyle w:val="ListParagraph"/>
        <w:numPr>
          <w:ilvl w:val="0"/>
          <w:numId w:val="14"/>
        </w:numPr>
        <w:autoSpaceDE w:val="0"/>
        <w:autoSpaceDN w:val="0"/>
        <w:adjustRightInd w:val="0"/>
        <w:spacing w:after="160" w:line="360" w:lineRule="auto"/>
        <w:jc w:val="both"/>
        <w:rPr>
          <w:rFonts w:ascii="Arial" w:hAnsi="Arial"/>
          <w:color w:val="000000"/>
          <w:sz w:val="20"/>
        </w:rPr>
      </w:pPr>
      <w:r>
        <w:rPr>
          <w:rFonts w:ascii="Arial" w:hAnsi="Arial"/>
          <w:color w:val="000000"/>
          <w:sz w:val="20"/>
        </w:rPr>
        <w:t>Energy Efficiency (</w:t>
      </w:r>
      <w:r w:rsidRPr="006764A9">
        <w:rPr>
          <w:rFonts w:ascii="Arial" w:hAnsi="Arial"/>
          <w:color w:val="000000"/>
          <w:sz w:val="20"/>
        </w:rPr>
        <w:t>EE</w:t>
      </w:r>
      <w:r>
        <w:rPr>
          <w:rFonts w:ascii="Arial" w:hAnsi="Arial"/>
          <w:color w:val="000000"/>
          <w:sz w:val="20"/>
        </w:rPr>
        <w:t>)</w:t>
      </w:r>
      <w:r w:rsidRPr="006764A9">
        <w:rPr>
          <w:rFonts w:ascii="Arial" w:hAnsi="Arial"/>
          <w:color w:val="000000"/>
          <w:sz w:val="20"/>
        </w:rPr>
        <w:t>/D</w:t>
      </w:r>
      <w:r>
        <w:rPr>
          <w:rFonts w:ascii="Arial" w:hAnsi="Arial"/>
          <w:color w:val="000000"/>
          <w:sz w:val="20"/>
        </w:rPr>
        <w:t xml:space="preserve">istributed </w:t>
      </w:r>
      <w:r w:rsidRPr="006764A9">
        <w:rPr>
          <w:rFonts w:ascii="Arial" w:hAnsi="Arial"/>
          <w:color w:val="000000"/>
          <w:sz w:val="20"/>
        </w:rPr>
        <w:t>G</w:t>
      </w:r>
      <w:r>
        <w:rPr>
          <w:rFonts w:ascii="Arial" w:hAnsi="Arial"/>
          <w:color w:val="000000"/>
          <w:sz w:val="20"/>
        </w:rPr>
        <w:t>eneration (DG)</w:t>
      </w:r>
      <w:r w:rsidRPr="006764A9">
        <w:rPr>
          <w:rFonts w:ascii="Arial" w:hAnsi="Arial"/>
          <w:color w:val="000000"/>
          <w:sz w:val="20"/>
        </w:rPr>
        <w:t>/D</w:t>
      </w:r>
      <w:r>
        <w:rPr>
          <w:rFonts w:ascii="Arial" w:hAnsi="Arial"/>
          <w:color w:val="000000"/>
          <w:sz w:val="20"/>
        </w:rPr>
        <w:t xml:space="preserve">emand </w:t>
      </w:r>
      <w:r w:rsidRPr="006764A9">
        <w:rPr>
          <w:rFonts w:ascii="Arial" w:hAnsi="Arial"/>
          <w:color w:val="000000"/>
          <w:sz w:val="20"/>
        </w:rPr>
        <w:t>R</w:t>
      </w:r>
      <w:r>
        <w:rPr>
          <w:rFonts w:ascii="Arial" w:hAnsi="Arial"/>
          <w:color w:val="000000"/>
          <w:sz w:val="20"/>
        </w:rPr>
        <w:t>esponse (DR)</w:t>
      </w:r>
      <w:r w:rsidRPr="006764A9">
        <w:rPr>
          <w:rFonts w:ascii="Arial" w:hAnsi="Arial"/>
          <w:color w:val="000000"/>
          <w:sz w:val="20"/>
        </w:rPr>
        <w:t xml:space="preserve"> Adjustment </w:t>
      </w:r>
      <w:r>
        <w:rPr>
          <w:rFonts w:ascii="Arial" w:hAnsi="Arial"/>
          <w:color w:val="000000"/>
          <w:sz w:val="20"/>
        </w:rPr>
        <w:t>-</w:t>
      </w:r>
      <w:r w:rsidR="0038429F" w:rsidRPr="006764A9">
        <w:rPr>
          <w:rFonts w:ascii="Arial" w:hAnsi="Arial"/>
          <w:color w:val="000000"/>
          <w:sz w:val="20"/>
        </w:rPr>
        <w:t>P</w:t>
      </w:r>
      <w:r w:rsidR="002D56FE" w:rsidRPr="006764A9">
        <w:rPr>
          <w:rFonts w:ascii="Arial" w:hAnsi="Arial"/>
          <w:color w:val="000000"/>
          <w:sz w:val="20"/>
        </w:rPr>
        <w:t>rorate</w:t>
      </w:r>
      <w:r w:rsidR="00EB1613" w:rsidRPr="006764A9">
        <w:rPr>
          <w:rFonts w:ascii="Arial" w:hAnsi="Arial"/>
          <w:color w:val="000000"/>
          <w:sz w:val="20"/>
        </w:rPr>
        <w:t>d</w:t>
      </w:r>
      <w:r w:rsidR="002D56FE" w:rsidRPr="006764A9">
        <w:rPr>
          <w:rFonts w:ascii="Arial" w:hAnsi="Arial"/>
          <w:color w:val="000000"/>
          <w:sz w:val="20"/>
        </w:rPr>
        <w:t xml:space="preserve"> adjustments are then made </w:t>
      </w:r>
      <w:r w:rsidR="00DB3257" w:rsidRPr="006764A9">
        <w:rPr>
          <w:rFonts w:ascii="Arial" w:hAnsi="Arial"/>
          <w:color w:val="000000"/>
          <w:sz w:val="20"/>
        </w:rPr>
        <w:t>to the LSE</w:t>
      </w:r>
      <w:r w:rsidR="0038429F" w:rsidRPr="006764A9">
        <w:rPr>
          <w:rFonts w:ascii="Arial" w:hAnsi="Arial"/>
          <w:color w:val="000000"/>
          <w:sz w:val="20"/>
        </w:rPr>
        <w:t>s</w:t>
      </w:r>
      <w:r w:rsidR="0043410B">
        <w:rPr>
          <w:rFonts w:ascii="Arial" w:hAnsi="Arial"/>
          <w:color w:val="000000"/>
          <w:sz w:val="20"/>
        </w:rPr>
        <w:t xml:space="preserve"> </w:t>
      </w:r>
      <w:r w:rsidR="0038429F" w:rsidRPr="006764A9">
        <w:rPr>
          <w:rFonts w:ascii="Arial" w:hAnsi="Arial"/>
          <w:color w:val="000000"/>
          <w:sz w:val="20"/>
        </w:rPr>
        <w:t>forecast</w:t>
      </w:r>
      <w:r w:rsidR="00BE4225">
        <w:rPr>
          <w:rFonts w:ascii="Arial" w:hAnsi="Arial"/>
          <w:color w:val="000000"/>
          <w:sz w:val="20"/>
        </w:rPr>
        <w:t>s</w:t>
      </w:r>
      <w:r w:rsidR="0038429F" w:rsidRPr="006764A9">
        <w:rPr>
          <w:rFonts w:ascii="Arial" w:hAnsi="Arial"/>
          <w:color w:val="000000"/>
          <w:sz w:val="20"/>
        </w:rPr>
        <w:t xml:space="preserve"> </w:t>
      </w:r>
      <w:r w:rsidR="002D56FE" w:rsidRPr="006764A9">
        <w:rPr>
          <w:rFonts w:ascii="Arial" w:hAnsi="Arial"/>
          <w:color w:val="000000"/>
          <w:sz w:val="20"/>
        </w:rPr>
        <w:t xml:space="preserve">to account for demand side energy savings that are paid for through distribution charges (energy efficiency, distributed generation, and demand response). </w:t>
      </w:r>
      <w:r w:rsidR="000C6615">
        <w:rPr>
          <w:rFonts w:ascii="Arial" w:hAnsi="Arial"/>
          <w:color w:val="000000"/>
          <w:sz w:val="20"/>
        </w:rPr>
        <w:t xml:space="preserve">Time </w:t>
      </w:r>
      <w:r w:rsidR="00C20FB4">
        <w:rPr>
          <w:rFonts w:ascii="Arial" w:hAnsi="Arial"/>
          <w:color w:val="000000"/>
          <w:sz w:val="20"/>
        </w:rPr>
        <w:t>of</w:t>
      </w:r>
      <w:r w:rsidR="00060DF4">
        <w:rPr>
          <w:rFonts w:ascii="Arial" w:hAnsi="Arial"/>
          <w:color w:val="000000"/>
          <w:sz w:val="20"/>
        </w:rPr>
        <w:t xml:space="preserve"> Use</w:t>
      </w:r>
      <w:r w:rsidR="000C6615">
        <w:rPr>
          <w:rFonts w:ascii="Arial" w:hAnsi="Arial"/>
          <w:color w:val="000000"/>
          <w:sz w:val="20"/>
        </w:rPr>
        <w:t>, Permanent Load Shifting</w:t>
      </w:r>
      <w:r w:rsidR="00060DF4">
        <w:rPr>
          <w:rFonts w:ascii="Arial" w:hAnsi="Arial"/>
          <w:color w:val="000000"/>
          <w:sz w:val="20"/>
        </w:rPr>
        <w:t>, Critical Peak Pricing,</w:t>
      </w:r>
      <w:r w:rsidR="000C6615">
        <w:rPr>
          <w:rFonts w:ascii="Arial" w:hAnsi="Arial"/>
          <w:color w:val="000000"/>
          <w:sz w:val="20"/>
        </w:rPr>
        <w:t xml:space="preserve"> and</w:t>
      </w:r>
      <w:r w:rsidR="00060DF4">
        <w:rPr>
          <w:rFonts w:ascii="Arial" w:hAnsi="Arial"/>
          <w:color w:val="000000"/>
          <w:sz w:val="20"/>
        </w:rPr>
        <w:t xml:space="preserve"> </w:t>
      </w:r>
      <w:r w:rsidR="000C6615">
        <w:rPr>
          <w:rFonts w:ascii="Arial" w:hAnsi="Arial"/>
          <w:color w:val="000000"/>
          <w:sz w:val="20"/>
        </w:rPr>
        <w:t>Peak Time Rebate</w:t>
      </w:r>
      <w:r w:rsidR="00C35DC3">
        <w:rPr>
          <w:rFonts w:ascii="Arial" w:hAnsi="Arial"/>
          <w:color w:val="000000"/>
          <w:sz w:val="20"/>
        </w:rPr>
        <w:t xml:space="preserve"> programs all decrease the CEC load forecast and are listed as downwards adjustments as part of the DR adjustment</w:t>
      </w:r>
      <w:r w:rsidR="000C6615">
        <w:rPr>
          <w:rFonts w:ascii="Arial" w:hAnsi="Arial"/>
          <w:color w:val="000000"/>
          <w:sz w:val="20"/>
        </w:rPr>
        <w:t>.  The</w:t>
      </w:r>
      <w:r w:rsidR="00C35DC3">
        <w:rPr>
          <w:rFonts w:ascii="Arial" w:hAnsi="Arial"/>
          <w:color w:val="000000"/>
          <w:sz w:val="20"/>
        </w:rPr>
        <w:t xml:space="preserve"> downwards effects of these programs impact IOU forecasts only or load forecasts for all bundled and non-bundled customers depending on </w:t>
      </w:r>
      <w:r w:rsidR="000C6615">
        <w:rPr>
          <w:rFonts w:ascii="Arial" w:hAnsi="Arial"/>
          <w:color w:val="000000"/>
          <w:sz w:val="20"/>
        </w:rPr>
        <w:t xml:space="preserve">how the costs of the program are recovered.   </w:t>
      </w:r>
    </w:p>
    <w:p w:rsidR="00DE4317" w:rsidRPr="00282A4D" w:rsidRDefault="006764A9" w:rsidP="00DE4317">
      <w:pPr>
        <w:pStyle w:val="ListParagraph"/>
        <w:numPr>
          <w:ilvl w:val="0"/>
          <w:numId w:val="14"/>
        </w:numPr>
        <w:autoSpaceDE w:val="0"/>
        <w:autoSpaceDN w:val="0"/>
        <w:adjustRightInd w:val="0"/>
        <w:spacing w:after="160" w:line="360" w:lineRule="auto"/>
        <w:jc w:val="both"/>
        <w:rPr>
          <w:rFonts w:ascii="Arial" w:hAnsi="Arial"/>
          <w:color w:val="000000"/>
          <w:sz w:val="20"/>
        </w:rPr>
      </w:pPr>
      <w:r w:rsidRPr="00DE4317">
        <w:rPr>
          <w:rFonts w:ascii="Arial" w:hAnsi="Arial"/>
          <w:color w:val="000000"/>
          <w:sz w:val="20"/>
        </w:rPr>
        <w:t>P</w:t>
      </w:r>
      <w:r w:rsidR="00F30833" w:rsidRPr="00DE4317">
        <w:rPr>
          <w:rFonts w:ascii="Arial" w:hAnsi="Arial"/>
          <w:color w:val="000000"/>
          <w:sz w:val="20"/>
        </w:rPr>
        <w:t xml:space="preserve">ro </w:t>
      </w:r>
      <w:r w:rsidRPr="00DE4317">
        <w:rPr>
          <w:rFonts w:ascii="Arial" w:hAnsi="Arial"/>
          <w:color w:val="000000"/>
          <w:sz w:val="20"/>
        </w:rPr>
        <w:t>rata adjustment to match CEC forecast within 1%</w:t>
      </w:r>
      <w:r w:rsidR="00F30833" w:rsidRPr="00DE4317">
        <w:rPr>
          <w:rFonts w:ascii="Arial" w:hAnsi="Arial"/>
          <w:color w:val="000000"/>
          <w:sz w:val="20"/>
        </w:rPr>
        <w:t xml:space="preserve"> </w:t>
      </w:r>
      <w:r w:rsidRPr="00DE4317">
        <w:rPr>
          <w:rFonts w:ascii="Arial" w:hAnsi="Arial"/>
          <w:color w:val="000000"/>
          <w:sz w:val="20"/>
        </w:rPr>
        <w:t>-</w:t>
      </w:r>
      <w:r w:rsidR="002D56FE" w:rsidRPr="00DE4317">
        <w:rPr>
          <w:rFonts w:ascii="Arial" w:hAnsi="Arial"/>
          <w:color w:val="000000"/>
          <w:sz w:val="20"/>
        </w:rPr>
        <w:t xml:space="preserve"> </w:t>
      </w:r>
      <w:r w:rsidR="004728A0" w:rsidRPr="00DE4317">
        <w:rPr>
          <w:rFonts w:ascii="Arial" w:hAnsi="Arial"/>
          <w:color w:val="000000"/>
          <w:sz w:val="20"/>
        </w:rPr>
        <w:t xml:space="preserve">Lastly, </w:t>
      </w:r>
      <w:r w:rsidR="00C35DC3">
        <w:rPr>
          <w:rFonts w:ascii="Arial" w:hAnsi="Arial"/>
          <w:color w:val="000000"/>
          <w:sz w:val="20"/>
        </w:rPr>
        <w:t xml:space="preserve">in the event that total </w:t>
      </w:r>
      <w:r w:rsidR="00E244BE">
        <w:rPr>
          <w:rFonts w:ascii="Arial" w:hAnsi="Arial"/>
          <w:color w:val="000000"/>
          <w:sz w:val="20"/>
        </w:rPr>
        <w:t xml:space="preserve">LSEs </w:t>
      </w:r>
      <w:r w:rsidR="00C35DC3">
        <w:rPr>
          <w:rFonts w:ascii="Arial" w:hAnsi="Arial"/>
          <w:color w:val="000000"/>
          <w:sz w:val="20"/>
        </w:rPr>
        <w:t>forecasts are more than 1% divergent from the</w:t>
      </w:r>
      <w:r w:rsidR="00E244BE">
        <w:rPr>
          <w:rFonts w:ascii="Arial" w:hAnsi="Arial"/>
          <w:color w:val="000000"/>
          <w:sz w:val="20"/>
        </w:rPr>
        <w:t xml:space="preserve"> </w:t>
      </w:r>
      <w:r w:rsidR="004728A0" w:rsidRPr="00DE4317">
        <w:rPr>
          <w:rFonts w:ascii="Arial" w:hAnsi="Arial"/>
          <w:color w:val="000000"/>
          <w:sz w:val="20"/>
        </w:rPr>
        <w:t>CEC’s monthly weather normalized forecasts</w:t>
      </w:r>
      <w:r w:rsidR="00C35DC3">
        <w:rPr>
          <w:rFonts w:ascii="Arial" w:hAnsi="Arial"/>
          <w:color w:val="000000"/>
          <w:sz w:val="20"/>
        </w:rPr>
        <w:t xml:space="preserve"> a pro rate adjustment is made to bring it back </w:t>
      </w:r>
      <w:r w:rsidR="00C20FB4">
        <w:rPr>
          <w:rFonts w:ascii="Arial" w:hAnsi="Arial"/>
          <w:color w:val="000000"/>
          <w:sz w:val="20"/>
        </w:rPr>
        <w:t>within</w:t>
      </w:r>
      <w:r w:rsidR="00C35DC3">
        <w:rPr>
          <w:rFonts w:ascii="Arial" w:hAnsi="Arial"/>
          <w:color w:val="000000"/>
          <w:sz w:val="20"/>
        </w:rPr>
        <w:t xml:space="preserve"> 1%.</w:t>
      </w:r>
    </w:p>
    <w:p w:rsidR="00282A4D" w:rsidRPr="00DE4317" w:rsidRDefault="00282A4D" w:rsidP="00282A4D">
      <w:pPr>
        <w:pStyle w:val="ListParagraph"/>
        <w:autoSpaceDE w:val="0"/>
        <w:autoSpaceDN w:val="0"/>
        <w:adjustRightInd w:val="0"/>
        <w:spacing w:after="160" w:line="360" w:lineRule="auto"/>
        <w:ind w:left="648"/>
        <w:jc w:val="both"/>
        <w:rPr>
          <w:rFonts w:ascii="Arial" w:hAnsi="Arial"/>
          <w:color w:val="000000"/>
          <w:sz w:val="20"/>
        </w:rPr>
      </w:pPr>
    </w:p>
    <w:p w:rsidR="000C6615" w:rsidRPr="00CF11E9" w:rsidRDefault="000C6615" w:rsidP="006A7C3F">
      <w:pPr>
        <w:pStyle w:val="ListParagraph"/>
        <w:numPr>
          <w:ilvl w:val="0"/>
          <w:numId w:val="15"/>
        </w:numPr>
        <w:autoSpaceDE w:val="0"/>
        <w:autoSpaceDN w:val="0"/>
        <w:adjustRightInd w:val="0"/>
        <w:spacing w:after="160" w:line="360" w:lineRule="auto"/>
        <w:ind w:left="720"/>
        <w:contextualSpacing w:val="0"/>
        <w:rPr>
          <w:rFonts w:ascii="Arial" w:hAnsi="Arial"/>
          <w:b/>
          <w:color w:val="000000"/>
          <w:sz w:val="20"/>
        </w:rPr>
      </w:pPr>
      <w:r w:rsidRPr="00CF11E9">
        <w:rPr>
          <w:rFonts w:ascii="Arial" w:hAnsi="Arial"/>
          <w:b/>
          <w:color w:val="000000"/>
          <w:sz w:val="20"/>
        </w:rPr>
        <w:t>Coincidence factors</w:t>
      </w:r>
    </w:p>
    <w:p w:rsidR="000C6615" w:rsidRDefault="001601A0" w:rsidP="00391FE5">
      <w:pPr>
        <w:autoSpaceDE w:val="0"/>
        <w:autoSpaceDN w:val="0"/>
        <w:adjustRightInd w:val="0"/>
        <w:spacing w:after="160" w:line="360" w:lineRule="auto"/>
        <w:jc w:val="both"/>
        <w:rPr>
          <w:rStyle w:val="report6"/>
        </w:rPr>
      </w:pPr>
      <w:r>
        <w:rPr>
          <w:rStyle w:val="report6"/>
          <w:rFonts w:ascii="Arial" w:eastAsia="Times New Roman" w:hAnsi="Arial"/>
          <w:sz w:val="20"/>
        </w:rPr>
        <w:t>A LSE-specific monthly coincidence factor is calculated as the ratio of the LSE’s peak load at the time and hour of the five highest monthly CAISO’s system peak loads to the specific LSE’s actual non-coincident peak load in any given month.</w:t>
      </w:r>
      <w:r w:rsidR="00DB3EFB">
        <w:rPr>
          <w:rStyle w:val="report6"/>
          <w:rFonts w:ascii="Arial" w:eastAsia="Times New Roman" w:hAnsi="Arial"/>
          <w:sz w:val="20"/>
        </w:rPr>
        <w:t xml:space="preserve"> </w:t>
      </w:r>
      <w:r w:rsidR="000C6615">
        <w:rPr>
          <w:rStyle w:val="report6"/>
          <w:rFonts w:ascii="Arial" w:eastAsia="Times New Roman" w:hAnsi="Arial"/>
          <w:sz w:val="20"/>
        </w:rPr>
        <w:t xml:space="preserve">LSE-specific coincidence factors are computed for each month and </w:t>
      </w:r>
      <w:r w:rsidR="00066128" w:rsidRPr="001601A0">
        <w:rPr>
          <w:rFonts w:ascii="Arial" w:hAnsi="Arial" w:cs="Arial"/>
          <w:sz w:val="20"/>
          <w:szCs w:val="20"/>
        </w:rPr>
        <w:t>transmission access charge (</w:t>
      </w:r>
      <w:r w:rsidR="00066128">
        <w:rPr>
          <w:rFonts w:cs="Arial"/>
        </w:rPr>
        <w:t>TAC) area</w:t>
      </w:r>
      <w:r w:rsidR="00BB2E03">
        <w:rPr>
          <w:rStyle w:val="report6"/>
          <w:rFonts w:ascii="Arial" w:eastAsia="Times New Roman" w:hAnsi="Arial"/>
          <w:sz w:val="20"/>
        </w:rPr>
        <w:t xml:space="preserve"> </w:t>
      </w:r>
      <w:r w:rsidR="000C6615">
        <w:rPr>
          <w:rStyle w:val="report6"/>
          <w:rFonts w:ascii="Arial" w:eastAsia="Times New Roman" w:hAnsi="Arial"/>
          <w:sz w:val="20"/>
        </w:rPr>
        <w:t xml:space="preserve">based on historical hourly loads for the latest </w:t>
      </w:r>
      <w:r w:rsidR="00391FE5">
        <w:rPr>
          <w:rStyle w:val="report6"/>
          <w:rFonts w:ascii="Arial" w:eastAsia="Times New Roman" w:hAnsi="Arial"/>
          <w:sz w:val="20"/>
        </w:rPr>
        <w:t xml:space="preserve">1-3 </w:t>
      </w:r>
      <w:r w:rsidR="000C6615">
        <w:rPr>
          <w:rStyle w:val="report6"/>
          <w:rFonts w:ascii="Arial" w:eastAsia="Times New Roman" w:hAnsi="Arial"/>
          <w:sz w:val="20"/>
        </w:rPr>
        <w:t>year</w:t>
      </w:r>
      <w:r w:rsidR="00391FE5">
        <w:rPr>
          <w:rStyle w:val="report6"/>
          <w:rFonts w:ascii="Arial" w:eastAsia="Times New Roman" w:hAnsi="Arial"/>
          <w:sz w:val="20"/>
        </w:rPr>
        <w:t>s</w:t>
      </w:r>
      <w:r w:rsidR="000C6615">
        <w:rPr>
          <w:rStyle w:val="report6"/>
          <w:rFonts w:ascii="Arial" w:eastAsia="Times New Roman" w:hAnsi="Arial"/>
          <w:sz w:val="20"/>
        </w:rPr>
        <w:t xml:space="preserve">. </w:t>
      </w:r>
    </w:p>
    <w:p w:rsidR="000C6615" w:rsidRDefault="0045758A" w:rsidP="004344F6">
      <w:pPr>
        <w:autoSpaceDE w:val="0"/>
        <w:autoSpaceDN w:val="0"/>
        <w:adjustRightInd w:val="0"/>
        <w:spacing w:after="160" w:line="360" w:lineRule="auto"/>
        <w:ind w:firstLine="288"/>
        <w:jc w:val="both"/>
        <w:rPr>
          <w:rFonts w:ascii="Arial" w:eastAsia="Times New Roman" w:hAnsi="Arial"/>
          <w:sz w:val="20"/>
        </w:rPr>
      </w:pPr>
      <w:r>
        <w:rPr>
          <w:rFonts w:ascii="Arial" w:eastAsia="Times New Roman" w:hAnsi="Arial"/>
          <w:sz w:val="20"/>
        </w:rPr>
        <w:t>T</w:t>
      </w:r>
      <w:r w:rsidR="000C6615">
        <w:rPr>
          <w:rFonts w:ascii="Arial" w:eastAsia="Times New Roman" w:hAnsi="Arial"/>
          <w:sz w:val="20"/>
        </w:rPr>
        <w:t xml:space="preserve">he median </w:t>
      </w:r>
      <w:r w:rsidR="00AA06CF">
        <w:rPr>
          <w:rFonts w:ascii="Arial" w:eastAsia="Times New Roman" w:hAnsi="Arial"/>
          <w:sz w:val="20"/>
        </w:rPr>
        <w:t xml:space="preserve">monthly </w:t>
      </w:r>
      <w:r w:rsidR="000C6615">
        <w:rPr>
          <w:rFonts w:ascii="Arial" w:eastAsia="Times New Roman" w:hAnsi="Arial"/>
          <w:sz w:val="20"/>
        </w:rPr>
        <w:t>coincidence</w:t>
      </w:r>
      <w:r w:rsidR="00C35DC3">
        <w:rPr>
          <w:rFonts w:ascii="Arial" w:eastAsia="Times New Roman" w:hAnsi="Arial"/>
          <w:sz w:val="20"/>
        </w:rPr>
        <w:t xml:space="preserve"> factor is selected from the five availabl</w:t>
      </w:r>
      <w:r w:rsidR="00AA06CF">
        <w:rPr>
          <w:rFonts w:ascii="Arial" w:eastAsia="Times New Roman" w:hAnsi="Arial"/>
          <w:sz w:val="20"/>
        </w:rPr>
        <w:t>e</w:t>
      </w:r>
      <w:r w:rsidR="00C35DC3">
        <w:rPr>
          <w:rFonts w:ascii="Arial" w:eastAsia="Times New Roman" w:hAnsi="Arial"/>
          <w:sz w:val="20"/>
        </w:rPr>
        <w:t xml:space="preserve"> </w:t>
      </w:r>
      <w:r>
        <w:rPr>
          <w:rFonts w:ascii="Arial" w:eastAsia="Times New Roman" w:hAnsi="Arial"/>
          <w:sz w:val="20"/>
        </w:rPr>
        <w:t xml:space="preserve">as the </w:t>
      </w:r>
      <w:r w:rsidR="000C6615">
        <w:rPr>
          <w:rFonts w:ascii="Arial" w:eastAsia="Times New Roman" w:hAnsi="Arial"/>
          <w:sz w:val="20"/>
        </w:rPr>
        <w:t>LSE-specific monthly coincidence factor. The</w:t>
      </w:r>
      <w:r w:rsidR="000C6615" w:rsidRPr="00422F34">
        <w:rPr>
          <w:rFonts w:ascii="Arial" w:eastAsia="Times New Roman" w:hAnsi="Arial"/>
          <w:sz w:val="20"/>
        </w:rPr>
        <w:t xml:space="preserve"> monthly coincidence facto</w:t>
      </w:r>
      <w:r w:rsidR="000C6615">
        <w:rPr>
          <w:rFonts w:ascii="Arial" w:eastAsia="Times New Roman" w:hAnsi="Arial"/>
          <w:sz w:val="20"/>
        </w:rPr>
        <w:t>r</w:t>
      </w:r>
      <w:r w:rsidR="00AA06CF">
        <w:rPr>
          <w:rFonts w:ascii="Arial" w:eastAsia="Times New Roman" w:hAnsi="Arial"/>
          <w:sz w:val="20"/>
        </w:rPr>
        <w:t xml:space="preserve">s are </w:t>
      </w:r>
      <w:r w:rsidR="0013404E">
        <w:rPr>
          <w:rFonts w:ascii="Arial" w:eastAsia="Times New Roman" w:hAnsi="Arial"/>
          <w:sz w:val="20"/>
        </w:rPr>
        <w:t>applied</w:t>
      </w:r>
      <w:r w:rsidR="003241C6">
        <w:rPr>
          <w:rFonts w:ascii="Arial" w:eastAsia="Times New Roman" w:hAnsi="Arial"/>
          <w:sz w:val="20"/>
        </w:rPr>
        <w:t xml:space="preserve">, </w:t>
      </w:r>
      <w:r w:rsidR="0013404E">
        <w:rPr>
          <w:rFonts w:ascii="Arial" w:eastAsia="Times New Roman" w:hAnsi="Arial"/>
          <w:sz w:val="20"/>
        </w:rPr>
        <w:t>to</w:t>
      </w:r>
      <w:r w:rsidR="000C6615">
        <w:rPr>
          <w:rFonts w:ascii="Arial" w:eastAsia="Times New Roman" w:hAnsi="Arial"/>
          <w:sz w:val="20"/>
        </w:rPr>
        <w:t xml:space="preserve"> each LSE’s year-</w:t>
      </w:r>
      <w:r w:rsidR="000C6615" w:rsidRPr="00422F34">
        <w:rPr>
          <w:rFonts w:ascii="Arial" w:eastAsia="Times New Roman" w:hAnsi="Arial"/>
          <w:sz w:val="20"/>
        </w:rPr>
        <w:t xml:space="preserve">ahead </w:t>
      </w:r>
      <w:r w:rsidR="000C6615">
        <w:rPr>
          <w:rFonts w:ascii="Arial" w:eastAsia="Times New Roman" w:hAnsi="Arial"/>
          <w:sz w:val="20"/>
        </w:rPr>
        <w:t xml:space="preserve">monthly peak </w:t>
      </w:r>
      <w:r w:rsidR="000C6615" w:rsidRPr="00422F34">
        <w:rPr>
          <w:rFonts w:ascii="Arial" w:eastAsia="Times New Roman" w:hAnsi="Arial"/>
          <w:sz w:val="20"/>
        </w:rPr>
        <w:t>forecast</w:t>
      </w:r>
      <w:r w:rsidR="00AA06CF">
        <w:rPr>
          <w:rFonts w:ascii="Arial" w:eastAsia="Times New Roman" w:hAnsi="Arial"/>
          <w:sz w:val="20"/>
        </w:rPr>
        <w:t>s</w:t>
      </w:r>
      <w:r w:rsidR="000C6615">
        <w:rPr>
          <w:rFonts w:ascii="Arial" w:eastAsia="Times New Roman" w:hAnsi="Arial"/>
          <w:sz w:val="20"/>
        </w:rPr>
        <w:t>,</w:t>
      </w:r>
      <w:r w:rsidR="000C6615" w:rsidRPr="00422F34">
        <w:rPr>
          <w:rFonts w:ascii="Arial" w:eastAsia="Times New Roman" w:hAnsi="Arial"/>
          <w:sz w:val="20"/>
        </w:rPr>
        <w:t xml:space="preserve"> to adjust the LSE’s non</w:t>
      </w:r>
      <w:r w:rsidR="000C6615">
        <w:rPr>
          <w:rFonts w:ascii="Arial" w:eastAsia="Times New Roman" w:hAnsi="Arial"/>
          <w:sz w:val="20"/>
        </w:rPr>
        <w:t>-</w:t>
      </w:r>
      <w:r w:rsidR="000C6615" w:rsidRPr="00422F34">
        <w:rPr>
          <w:rFonts w:ascii="Arial" w:eastAsia="Times New Roman" w:hAnsi="Arial"/>
          <w:sz w:val="20"/>
        </w:rPr>
        <w:t xml:space="preserve">coincident peak to a </w:t>
      </w:r>
      <w:r w:rsidR="00AA06CF">
        <w:rPr>
          <w:rFonts w:ascii="Arial" w:eastAsia="Times New Roman" w:hAnsi="Arial"/>
          <w:sz w:val="20"/>
        </w:rPr>
        <w:t xml:space="preserve">forecast of the LSE’s </w:t>
      </w:r>
      <w:r w:rsidR="000C6615" w:rsidRPr="00422F34">
        <w:rPr>
          <w:rFonts w:ascii="Arial" w:eastAsia="Times New Roman" w:hAnsi="Arial"/>
          <w:sz w:val="20"/>
        </w:rPr>
        <w:t xml:space="preserve">peak coincident with </w:t>
      </w:r>
      <w:r w:rsidR="000C6615">
        <w:rPr>
          <w:rFonts w:ascii="Arial" w:eastAsia="Times New Roman" w:hAnsi="Arial"/>
          <w:sz w:val="20"/>
        </w:rPr>
        <w:t xml:space="preserve">the CAISO system </w:t>
      </w:r>
      <w:r w:rsidR="004344F6">
        <w:rPr>
          <w:rFonts w:ascii="Arial" w:eastAsia="Times New Roman" w:hAnsi="Arial"/>
          <w:sz w:val="20"/>
        </w:rPr>
        <w:t>peak. In</w:t>
      </w:r>
      <w:r w:rsidR="000C6615">
        <w:rPr>
          <w:rFonts w:ascii="Arial" w:eastAsia="Times New Roman" w:hAnsi="Arial"/>
          <w:sz w:val="20"/>
        </w:rPr>
        <w:t xml:space="preserve"> month-</w:t>
      </w:r>
      <w:r w:rsidR="000C6615" w:rsidRPr="00422F34">
        <w:rPr>
          <w:rFonts w:ascii="Arial" w:eastAsia="Times New Roman" w:hAnsi="Arial"/>
          <w:sz w:val="20"/>
        </w:rPr>
        <w:t>ahead forecasts, the coincidence factor is also applied to the non</w:t>
      </w:r>
      <w:r w:rsidR="000C6615">
        <w:rPr>
          <w:rFonts w:ascii="Arial" w:eastAsia="Times New Roman" w:hAnsi="Arial"/>
          <w:sz w:val="20"/>
        </w:rPr>
        <w:t>-</w:t>
      </w:r>
      <w:r w:rsidR="000C6615" w:rsidRPr="00422F34">
        <w:rPr>
          <w:rFonts w:ascii="Arial" w:eastAsia="Times New Roman" w:hAnsi="Arial"/>
          <w:sz w:val="20"/>
        </w:rPr>
        <w:t>coincident peak of migrating load.</w:t>
      </w:r>
      <w:r w:rsidR="000C6615">
        <w:rPr>
          <w:rFonts w:ascii="Arial" w:eastAsia="Times New Roman" w:hAnsi="Arial"/>
          <w:sz w:val="20"/>
        </w:rPr>
        <w:t xml:space="preserve"> Therefore both the year-ahead and month-ahead forecasts are being adjusted by coincidence factors in determining RA obligations.</w:t>
      </w:r>
    </w:p>
    <w:p w:rsidR="000C6615" w:rsidRDefault="000C6615" w:rsidP="000C6615">
      <w:pPr>
        <w:autoSpaceDE w:val="0"/>
        <w:autoSpaceDN w:val="0"/>
        <w:adjustRightInd w:val="0"/>
        <w:spacing w:after="160" w:line="360" w:lineRule="auto"/>
        <w:ind w:firstLine="288"/>
        <w:jc w:val="both"/>
        <w:rPr>
          <w:rFonts w:ascii="Arial" w:eastAsia="Times New Roman" w:hAnsi="Arial"/>
          <w:sz w:val="20"/>
        </w:rPr>
      </w:pPr>
      <w:r>
        <w:rPr>
          <w:rFonts w:ascii="Arial" w:eastAsia="Times New Roman" w:hAnsi="Arial"/>
          <w:sz w:val="20"/>
        </w:rPr>
        <w:t>C</w:t>
      </w:r>
      <w:r w:rsidRPr="00BE3705">
        <w:rPr>
          <w:rStyle w:val="report6"/>
          <w:rFonts w:ascii="Arial" w:hAnsi="Arial"/>
          <w:sz w:val="20"/>
        </w:rPr>
        <w:t xml:space="preserve">oincidence factors vary </w:t>
      </w:r>
      <w:r>
        <w:rPr>
          <w:rStyle w:val="report6"/>
          <w:rFonts w:ascii="Arial" w:hAnsi="Arial"/>
          <w:sz w:val="20"/>
        </w:rPr>
        <w:t>slightly</w:t>
      </w:r>
      <w:r w:rsidRPr="00BE3705">
        <w:rPr>
          <w:rStyle w:val="report6"/>
          <w:rFonts w:ascii="Arial" w:hAnsi="Arial"/>
          <w:sz w:val="20"/>
        </w:rPr>
        <w:t xml:space="preserve"> based on</w:t>
      </w:r>
      <w:r>
        <w:rPr>
          <w:rStyle w:val="report6"/>
          <w:rFonts w:ascii="Arial" w:hAnsi="Arial"/>
          <w:sz w:val="20"/>
        </w:rPr>
        <w:t xml:space="preserve"> load composition.</w:t>
      </w:r>
      <w:r>
        <w:rPr>
          <w:rFonts w:ascii="Arial" w:eastAsia="Times New Roman" w:hAnsi="Arial"/>
          <w:sz w:val="20"/>
        </w:rPr>
        <w:t xml:space="preserve"> The CAISO system hourly peaks are driven mainly by the residential sector</w:t>
      </w:r>
      <w:r w:rsidR="00AA06CF">
        <w:rPr>
          <w:rFonts w:ascii="Arial" w:eastAsia="Times New Roman" w:hAnsi="Arial"/>
          <w:sz w:val="20"/>
        </w:rPr>
        <w:t xml:space="preserve">, which is the </w:t>
      </w:r>
      <w:r>
        <w:rPr>
          <w:rFonts w:ascii="Arial" w:eastAsia="Times New Roman" w:hAnsi="Arial"/>
          <w:sz w:val="20"/>
        </w:rPr>
        <w:t xml:space="preserve">largest </w:t>
      </w:r>
      <w:r w:rsidR="00AA06CF">
        <w:rPr>
          <w:rFonts w:ascii="Arial" w:eastAsia="Times New Roman" w:hAnsi="Arial"/>
          <w:sz w:val="20"/>
        </w:rPr>
        <w:t xml:space="preserve">energy consuming </w:t>
      </w:r>
      <w:r>
        <w:rPr>
          <w:rFonts w:ascii="Arial" w:eastAsia="Times New Roman" w:hAnsi="Arial"/>
          <w:sz w:val="20"/>
        </w:rPr>
        <w:t xml:space="preserve">sector </w:t>
      </w:r>
      <w:r w:rsidR="00AA06CF">
        <w:rPr>
          <w:rFonts w:ascii="Arial" w:eastAsia="Times New Roman" w:hAnsi="Arial"/>
          <w:sz w:val="20"/>
        </w:rPr>
        <w:t xml:space="preserve">of the economy </w:t>
      </w:r>
      <w:r>
        <w:rPr>
          <w:rFonts w:ascii="Arial" w:eastAsia="Times New Roman" w:hAnsi="Arial"/>
          <w:sz w:val="20"/>
        </w:rPr>
        <w:t xml:space="preserve">and the most sensitive to weather. Therefore, the median coincident factor </w:t>
      </w:r>
      <w:r>
        <w:rPr>
          <w:rStyle w:val="report6"/>
          <w:rFonts w:ascii="Arial" w:eastAsia="Times New Roman" w:hAnsi="Arial"/>
          <w:sz w:val="20"/>
        </w:rPr>
        <w:t>based on historical hourly loads for the latest year</w:t>
      </w:r>
      <w:r>
        <w:rPr>
          <w:rFonts w:ascii="Arial" w:eastAsia="Times New Roman" w:hAnsi="Arial"/>
          <w:sz w:val="20"/>
        </w:rPr>
        <w:t xml:space="preserve"> seems appropriate for </w:t>
      </w:r>
      <w:r>
        <w:rPr>
          <w:rStyle w:val="report6"/>
          <w:rFonts w:ascii="Arial" w:hAnsi="Arial"/>
          <w:sz w:val="20"/>
        </w:rPr>
        <w:t xml:space="preserve">LSEs with large residential weather sensitive loads. However, for </w:t>
      </w:r>
      <w:r>
        <w:rPr>
          <w:rStyle w:val="report6"/>
          <w:rFonts w:ascii="Arial" w:eastAsia="Times New Roman" w:hAnsi="Arial"/>
          <w:sz w:val="20"/>
        </w:rPr>
        <w:t>LSEs with large commercial, industrial, and/or pumping</w:t>
      </w:r>
      <w:r w:rsidRPr="00BE3705">
        <w:rPr>
          <w:rStyle w:val="report6"/>
          <w:rFonts w:ascii="Arial" w:eastAsia="Times New Roman" w:hAnsi="Arial"/>
          <w:sz w:val="20"/>
        </w:rPr>
        <w:t xml:space="preserve"> loads</w:t>
      </w:r>
      <w:r>
        <w:rPr>
          <w:rStyle w:val="report6"/>
          <w:rFonts w:ascii="Arial" w:eastAsia="Times New Roman" w:hAnsi="Arial"/>
          <w:sz w:val="20"/>
        </w:rPr>
        <w:t xml:space="preserve"> that do not mirror the CAISO system hourly peaks median coincident factors are not as useful. </w:t>
      </w:r>
      <w:r>
        <w:rPr>
          <w:rFonts w:ascii="Arial" w:eastAsia="Times New Roman" w:hAnsi="Arial"/>
          <w:sz w:val="20"/>
        </w:rPr>
        <w:t>I</w:t>
      </w:r>
      <w:r w:rsidRPr="003448D2">
        <w:rPr>
          <w:rFonts w:ascii="Arial" w:eastAsia="Times New Roman" w:hAnsi="Arial"/>
          <w:sz w:val="20"/>
        </w:rPr>
        <w:t>n response to coincidence factor sensitivity and variability</w:t>
      </w:r>
      <w:r>
        <w:rPr>
          <w:rFonts w:ascii="Arial" w:eastAsia="Times New Roman" w:hAnsi="Arial"/>
          <w:sz w:val="20"/>
        </w:rPr>
        <w:t xml:space="preserve"> across LSEs the CEC does the following</w:t>
      </w:r>
    </w:p>
    <w:p w:rsidR="000C6615" w:rsidRPr="00EE4797" w:rsidRDefault="00024B61" w:rsidP="000C6615">
      <w:pPr>
        <w:pStyle w:val="ListParagraph"/>
        <w:numPr>
          <w:ilvl w:val="0"/>
          <w:numId w:val="12"/>
        </w:numPr>
        <w:autoSpaceDE w:val="0"/>
        <w:autoSpaceDN w:val="0"/>
        <w:adjustRightInd w:val="0"/>
        <w:spacing w:after="160" w:line="360" w:lineRule="auto"/>
        <w:ind w:left="648"/>
        <w:jc w:val="both"/>
        <w:rPr>
          <w:rFonts w:ascii="Arial" w:eastAsia="Times New Roman" w:hAnsi="Arial"/>
          <w:sz w:val="20"/>
        </w:rPr>
      </w:pPr>
      <w:r>
        <w:rPr>
          <w:rFonts w:ascii="Arial" w:eastAsia="Times New Roman" w:hAnsi="Arial"/>
          <w:sz w:val="20"/>
        </w:rPr>
        <w:t xml:space="preserve">For LSEs with </w:t>
      </w:r>
      <w:r w:rsidR="002B1C22">
        <w:rPr>
          <w:rFonts w:ascii="Arial" w:eastAsia="Times New Roman" w:hAnsi="Arial"/>
          <w:sz w:val="20"/>
        </w:rPr>
        <w:t xml:space="preserve">load shapes </w:t>
      </w:r>
      <w:r w:rsidR="00A01877">
        <w:rPr>
          <w:rFonts w:ascii="Arial" w:eastAsia="Times New Roman" w:hAnsi="Arial"/>
          <w:sz w:val="20"/>
        </w:rPr>
        <w:t xml:space="preserve">that are </w:t>
      </w:r>
      <w:r>
        <w:rPr>
          <w:rFonts w:ascii="Arial" w:eastAsia="Times New Roman" w:hAnsi="Arial"/>
          <w:sz w:val="20"/>
        </w:rPr>
        <w:t xml:space="preserve">relatively stable over time </w:t>
      </w:r>
      <w:r w:rsidR="00A01877">
        <w:rPr>
          <w:rFonts w:ascii="Arial" w:eastAsia="Times New Roman" w:hAnsi="Arial"/>
          <w:sz w:val="20"/>
        </w:rPr>
        <w:t>and/</w:t>
      </w:r>
      <w:r w:rsidR="002B1C22">
        <w:rPr>
          <w:rFonts w:ascii="Arial" w:eastAsia="Times New Roman" w:hAnsi="Arial"/>
          <w:sz w:val="20"/>
        </w:rPr>
        <w:t xml:space="preserve">or </w:t>
      </w:r>
      <w:r>
        <w:rPr>
          <w:rFonts w:ascii="Arial" w:eastAsia="Times New Roman" w:hAnsi="Arial"/>
          <w:sz w:val="20"/>
        </w:rPr>
        <w:t>correlate</w:t>
      </w:r>
      <w:r w:rsidR="002B1C22">
        <w:rPr>
          <w:rFonts w:ascii="Arial" w:eastAsia="Times New Roman" w:hAnsi="Arial"/>
          <w:sz w:val="20"/>
        </w:rPr>
        <w:t>d</w:t>
      </w:r>
      <w:r>
        <w:rPr>
          <w:rFonts w:ascii="Arial" w:eastAsia="Times New Roman" w:hAnsi="Arial"/>
          <w:sz w:val="20"/>
        </w:rPr>
        <w:t xml:space="preserve"> with the system loads, </w:t>
      </w:r>
      <w:r w:rsidR="000C6615" w:rsidRPr="00EE4BB6">
        <w:rPr>
          <w:rFonts w:ascii="Arial" w:eastAsia="Times New Roman" w:hAnsi="Arial"/>
          <w:sz w:val="20"/>
        </w:rPr>
        <w:t>the CEC use</w:t>
      </w:r>
      <w:r w:rsidR="000C6615">
        <w:rPr>
          <w:rFonts w:ascii="Arial" w:eastAsia="Times New Roman" w:hAnsi="Arial"/>
          <w:sz w:val="20"/>
        </w:rPr>
        <w:t>s</w:t>
      </w:r>
      <w:r w:rsidR="000C6615" w:rsidRPr="00EE4BB6">
        <w:rPr>
          <w:rFonts w:ascii="Arial" w:eastAsia="Times New Roman" w:hAnsi="Arial"/>
          <w:sz w:val="20"/>
        </w:rPr>
        <w:t xml:space="preserve"> one year of </w:t>
      </w:r>
      <w:r w:rsidR="000C6615">
        <w:rPr>
          <w:rFonts w:ascii="Arial" w:eastAsia="Times New Roman" w:hAnsi="Arial"/>
          <w:sz w:val="20"/>
        </w:rPr>
        <w:t xml:space="preserve">current load </w:t>
      </w:r>
      <w:r w:rsidR="000C6615" w:rsidRPr="00EE4BB6">
        <w:rPr>
          <w:rFonts w:ascii="Arial" w:eastAsia="Times New Roman" w:hAnsi="Arial"/>
          <w:sz w:val="20"/>
        </w:rPr>
        <w:t xml:space="preserve">data to assess coincidence with CAISO system peak load stability. </w:t>
      </w:r>
    </w:p>
    <w:p w:rsidR="00BF4529" w:rsidRPr="0089447A" w:rsidRDefault="000C6615" w:rsidP="000C6615">
      <w:pPr>
        <w:pStyle w:val="ListParagraph"/>
        <w:numPr>
          <w:ilvl w:val="0"/>
          <w:numId w:val="12"/>
        </w:numPr>
        <w:autoSpaceDE w:val="0"/>
        <w:autoSpaceDN w:val="0"/>
        <w:adjustRightInd w:val="0"/>
        <w:spacing w:after="160" w:line="360" w:lineRule="auto"/>
        <w:ind w:left="648"/>
        <w:contextualSpacing w:val="0"/>
        <w:jc w:val="both"/>
        <w:rPr>
          <w:rFonts w:ascii="Arial" w:eastAsia="Times New Roman" w:hAnsi="Arial"/>
          <w:sz w:val="20"/>
        </w:rPr>
      </w:pPr>
      <w:r w:rsidRPr="0089447A">
        <w:rPr>
          <w:rFonts w:ascii="Arial" w:eastAsia="Times New Roman" w:hAnsi="Arial"/>
          <w:sz w:val="20"/>
        </w:rPr>
        <w:t>For LSEs with load</w:t>
      </w:r>
      <w:r w:rsidR="00024B61">
        <w:rPr>
          <w:rFonts w:ascii="Arial" w:eastAsia="Times New Roman" w:hAnsi="Arial"/>
          <w:sz w:val="20"/>
        </w:rPr>
        <w:t xml:space="preserve"> shapes that change significantly over time </w:t>
      </w:r>
      <w:r w:rsidR="00A01877">
        <w:rPr>
          <w:rFonts w:ascii="Arial" w:eastAsia="Times New Roman" w:hAnsi="Arial"/>
          <w:sz w:val="20"/>
        </w:rPr>
        <w:t>and/or</w:t>
      </w:r>
      <w:r w:rsidR="00024B61">
        <w:rPr>
          <w:rFonts w:ascii="Arial" w:eastAsia="Times New Roman" w:hAnsi="Arial"/>
          <w:sz w:val="20"/>
        </w:rPr>
        <w:t xml:space="preserve"> </w:t>
      </w:r>
      <w:r w:rsidR="00DB3EFB">
        <w:rPr>
          <w:rFonts w:ascii="Arial" w:eastAsia="Times New Roman" w:hAnsi="Arial"/>
          <w:sz w:val="20"/>
        </w:rPr>
        <w:t xml:space="preserve">are </w:t>
      </w:r>
      <w:r w:rsidR="00A01877">
        <w:rPr>
          <w:rFonts w:ascii="Arial" w:eastAsia="Times New Roman" w:hAnsi="Arial"/>
          <w:sz w:val="20"/>
        </w:rPr>
        <w:t>not c</w:t>
      </w:r>
      <w:r w:rsidR="00024B61">
        <w:rPr>
          <w:rFonts w:ascii="Arial" w:eastAsia="Times New Roman" w:hAnsi="Arial"/>
          <w:sz w:val="20"/>
        </w:rPr>
        <w:t xml:space="preserve">orrelated with the system loads, </w:t>
      </w:r>
      <w:r w:rsidRPr="0089447A">
        <w:rPr>
          <w:rFonts w:ascii="Arial" w:eastAsia="Times New Roman" w:hAnsi="Arial"/>
          <w:sz w:val="20"/>
        </w:rPr>
        <w:t xml:space="preserve">CEC uses at least three previous years of data, instead of one year, to assess coincidence with CAISO system peak loads stability over time. </w:t>
      </w:r>
      <w:r w:rsidR="00BF4529" w:rsidRPr="0089447A">
        <w:rPr>
          <w:rFonts w:ascii="Arial" w:eastAsia="Times New Roman" w:hAnsi="Arial"/>
          <w:sz w:val="20"/>
        </w:rPr>
        <w:t>Additionally, the CEC</w:t>
      </w:r>
      <w:r w:rsidR="00BF4529" w:rsidRPr="0089447A">
        <w:rPr>
          <w:rStyle w:val="report6"/>
          <w:rFonts w:ascii="Arial" w:eastAsia="Times New Roman" w:hAnsi="Arial"/>
          <w:sz w:val="20"/>
        </w:rPr>
        <w:t xml:space="preserve"> </w:t>
      </w:r>
      <w:r w:rsidR="00BF4529" w:rsidRPr="0089447A">
        <w:rPr>
          <w:rFonts w:ascii="Arial" w:eastAsia="Times New Roman" w:hAnsi="Arial"/>
          <w:sz w:val="20"/>
        </w:rPr>
        <w:t xml:space="preserve">calculates coincidence factors based on average hourly peak loads. After selecting the hours for the corresponding </w:t>
      </w:r>
      <w:r w:rsidR="0079227C" w:rsidRPr="0089447A">
        <w:rPr>
          <w:rFonts w:ascii="Arial" w:eastAsia="Times New Roman" w:hAnsi="Arial"/>
          <w:sz w:val="20"/>
        </w:rPr>
        <w:t xml:space="preserve">CAISO </w:t>
      </w:r>
      <w:r w:rsidR="00BF4529" w:rsidRPr="0089447A">
        <w:rPr>
          <w:rFonts w:ascii="Arial" w:eastAsia="Times New Roman" w:hAnsi="Arial"/>
          <w:sz w:val="20"/>
        </w:rPr>
        <w:t>highest five peak loads by month, LSE-specific coincidence factor</w:t>
      </w:r>
      <w:r w:rsidR="00AA06CF">
        <w:rPr>
          <w:rFonts w:ascii="Arial" w:eastAsia="Times New Roman" w:hAnsi="Arial"/>
          <w:sz w:val="20"/>
        </w:rPr>
        <w:t xml:space="preserve">s are </w:t>
      </w:r>
      <w:r w:rsidR="00BF4529" w:rsidRPr="0089447A">
        <w:rPr>
          <w:rFonts w:ascii="Arial" w:eastAsia="Times New Roman" w:hAnsi="Arial"/>
          <w:sz w:val="20"/>
        </w:rPr>
        <w:t xml:space="preserve">calculated as the mean of the </w:t>
      </w:r>
      <w:r w:rsidR="0079227C" w:rsidRPr="0089447A">
        <w:rPr>
          <w:rFonts w:ascii="Arial" w:eastAsia="Times New Roman" w:hAnsi="Arial"/>
          <w:sz w:val="20"/>
        </w:rPr>
        <w:t xml:space="preserve">coincidence factors </w:t>
      </w:r>
      <w:r w:rsidR="00BF4529" w:rsidRPr="0089447A">
        <w:rPr>
          <w:rFonts w:ascii="Arial" w:eastAsia="Times New Roman" w:hAnsi="Arial"/>
          <w:sz w:val="20"/>
        </w:rPr>
        <w:t>over the range of</w:t>
      </w:r>
      <w:r w:rsidR="0079227C" w:rsidRPr="0089447A">
        <w:rPr>
          <w:rFonts w:ascii="Arial" w:eastAsia="Times New Roman" w:hAnsi="Arial"/>
          <w:sz w:val="20"/>
        </w:rPr>
        <w:t xml:space="preserve"> peak hours over the days of the month.</w:t>
      </w:r>
    </w:p>
    <w:p w:rsidR="00BF4529" w:rsidRPr="00BF4529" w:rsidRDefault="00BF4529" w:rsidP="00BF4529">
      <w:pPr>
        <w:pStyle w:val="ListParagraph"/>
        <w:numPr>
          <w:ilvl w:val="0"/>
          <w:numId w:val="12"/>
        </w:numPr>
        <w:autoSpaceDE w:val="0"/>
        <w:autoSpaceDN w:val="0"/>
        <w:adjustRightInd w:val="0"/>
        <w:spacing w:after="160" w:line="360" w:lineRule="auto"/>
        <w:ind w:left="648"/>
        <w:contextualSpacing w:val="0"/>
        <w:jc w:val="both"/>
        <w:rPr>
          <w:rFonts w:ascii="Arial" w:eastAsia="Times New Roman" w:hAnsi="Arial"/>
          <w:sz w:val="20"/>
        </w:rPr>
      </w:pPr>
      <w:r>
        <w:rPr>
          <w:rFonts w:ascii="Arial" w:eastAsia="Times New Roman" w:hAnsi="Arial"/>
          <w:sz w:val="20"/>
        </w:rPr>
        <w:t>F</w:t>
      </w:r>
      <w:r w:rsidRPr="00BF4529">
        <w:rPr>
          <w:rFonts w:ascii="Arial" w:eastAsia="Times New Roman" w:hAnsi="Arial"/>
          <w:sz w:val="20"/>
        </w:rPr>
        <w:t xml:space="preserve">or LSEs that experience slightly higher load responses to more than </w:t>
      </w:r>
      <w:r w:rsidR="00C47CCF">
        <w:rPr>
          <w:rFonts w:ascii="Arial" w:eastAsia="Times New Roman" w:hAnsi="Arial"/>
          <w:sz w:val="20"/>
        </w:rPr>
        <w:t xml:space="preserve">normal weather patterns the CEC uses </w:t>
      </w:r>
      <w:r w:rsidRPr="00BF4529">
        <w:rPr>
          <w:rFonts w:ascii="Arial" w:eastAsia="Times New Roman" w:hAnsi="Arial"/>
          <w:sz w:val="20"/>
        </w:rPr>
        <w:t>weather normalized coincidence factors. The analysis consists of a daily time-series regressive model to normalize daily LSE and system peaks</w:t>
      </w:r>
      <w:r w:rsidR="007755EA">
        <w:rPr>
          <w:rFonts w:ascii="Arial" w:eastAsia="Times New Roman" w:hAnsi="Arial"/>
          <w:sz w:val="20"/>
        </w:rPr>
        <w:t xml:space="preserve"> to weather variables</w:t>
      </w:r>
      <w:r w:rsidRPr="00BF4529">
        <w:rPr>
          <w:rFonts w:ascii="Arial" w:eastAsia="Times New Roman" w:hAnsi="Arial"/>
          <w:sz w:val="20"/>
        </w:rPr>
        <w:t xml:space="preserve">. This would result in monthly normalized non-coincident peaks for each year. Within each month and year, LSEs normalized coincident peaks corresponding to the day of the system maximum </w:t>
      </w:r>
      <w:r w:rsidR="007755EA">
        <w:rPr>
          <w:rFonts w:ascii="Arial" w:eastAsia="Times New Roman" w:hAnsi="Arial"/>
          <w:sz w:val="20"/>
        </w:rPr>
        <w:t xml:space="preserve">weather </w:t>
      </w:r>
      <w:r w:rsidRPr="00BF4529">
        <w:rPr>
          <w:rFonts w:ascii="Arial" w:eastAsia="Times New Roman" w:hAnsi="Arial"/>
          <w:sz w:val="20"/>
        </w:rPr>
        <w:t xml:space="preserve">normalized system peak would then be obtained. For each LSE, the monthly normalized coincidence factor would be computed as the ratio of the monthly coincidence peak to the monthly non-coincident peak, resulting in monthly normalized coincident factors for each of the three years. Additionally, for comparison purposes, </w:t>
      </w:r>
      <w:r w:rsidR="007755EA">
        <w:rPr>
          <w:rFonts w:ascii="Arial" w:eastAsia="Times New Roman" w:hAnsi="Arial"/>
          <w:sz w:val="20"/>
        </w:rPr>
        <w:t xml:space="preserve">the </w:t>
      </w:r>
      <w:r w:rsidRPr="00BF4529">
        <w:rPr>
          <w:rFonts w:ascii="Arial" w:eastAsia="Times New Roman" w:hAnsi="Arial"/>
          <w:sz w:val="20"/>
        </w:rPr>
        <w:t>CEC run</w:t>
      </w:r>
      <w:r w:rsidR="00E01841">
        <w:rPr>
          <w:rFonts w:ascii="Arial" w:eastAsia="Times New Roman" w:hAnsi="Arial"/>
          <w:sz w:val="20"/>
        </w:rPr>
        <w:t>s</w:t>
      </w:r>
      <w:r w:rsidRPr="00BF4529">
        <w:rPr>
          <w:rFonts w:ascii="Arial" w:eastAsia="Times New Roman" w:hAnsi="Arial"/>
          <w:sz w:val="20"/>
        </w:rPr>
        <w:t xml:space="preserve"> simultaneously </w:t>
      </w:r>
      <w:r>
        <w:rPr>
          <w:rFonts w:ascii="Arial" w:eastAsia="Times New Roman" w:hAnsi="Arial"/>
          <w:sz w:val="20"/>
        </w:rPr>
        <w:t>an</w:t>
      </w:r>
      <w:r w:rsidRPr="00BF4529">
        <w:rPr>
          <w:rFonts w:ascii="Arial" w:eastAsia="Times New Roman" w:hAnsi="Arial"/>
          <w:sz w:val="20"/>
        </w:rPr>
        <w:t xml:space="preserve"> alternative simpler approach to calculate coincidence factors. </w:t>
      </w:r>
      <w:r>
        <w:rPr>
          <w:rFonts w:ascii="Arial" w:eastAsia="Times New Roman" w:hAnsi="Arial"/>
          <w:sz w:val="20"/>
        </w:rPr>
        <w:t xml:space="preserve">The </w:t>
      </w:r>
      <w:r w:rsidRPr="00BF4529">
        <w:rPr>
          <w:rFonts w:ascii="Arial" w:eastAsia="Times New Roman" w:hAnsi="Arial"/>
          <w:sz w:val="20"/>
        </w:rPr>
        <w:t xml:space="preserve">approach consists of running a statistical regression analysis of coincidence factors on weather at the time of coincident peak. Using this value from any year as the input, the regression analysis then would provide the expected coincidence factor. </w:t>
      </w:r>
    </w:p>
    <w:p w:rsidR="006A7C3F" w:rsidRPr="006A7C3F" w:rsidRDefault="006A7C3F" w:rsidP="006A7C3F">
      <w:pPr>
        <w:autoSpaceDE w:val="0"/>
        <w:autoSpaceDN w:val="0"/>
        <w:adjustRightInd w:val="0"/>
        <w:spacing w:after="160" w:line="360" w:lineRule="auto"/>
        <w:jc w:val="both"/>
        <w:rPr>
          <w:rFonts w:ascii="Arial" w:eastAsia="Times New Roman" w:hAnsi="Arial"/>
          <w:sz w:val="20"/>
        </w:rPr>
      </w:pPr>
      <w:r>
        <w:rPr>
          <w:rFonts w:ascii="Arial" w:eastAsia="Times New Roman" w:hAnsi="Arial"/>
          <w:sz w:val="20"/>
        </w:rPr>
        <w:t>Once the coincidence fact</w:t>
      </w:r>
      <w:r w:rsidR="0041622A">
        <w:rPr>
          <w:rFonts w:ascii="Arial" w:eastAsia="Times New Roman" w:hAnsi="Arial"/>
          <w:sz w:val="20"/>
        </w:rPr>
        <w:t>ors are established in the year-ahead</w:t>
      </w:r>
      <w:r>
        <w:rPr>
          <w:rFonts w:ascii="Arial" w:eastAsia="Times New Roman" w:hAnsi="Arial"/>
          <w:sz w:val="20"/>
        </w:rPr>
        <w:t xml:space="preserve"> </w:t>
      </w:r>
      <w:r w:rsidR="0041622A">
        <w:rPr>
          <w:rFonts w:ascii="Arial" w:eastAsia="Times New Roman" w:hAnsi="Arial"/>
          <w:sz w:val="20"/>
        </w:rPr>
        <w:t>process</w:t>
      </w:r>
      <w:r>
        <w:rPr>
          <w:rFonts w:ascii="Arial" w:eastAsia="Times New Roman" w:hAnsi="Arial"/>
          <w:sz w:val="20"/>
        </w:rPr>
        <w:t xml:space="preserve">, they are held constant for the month-ahead process. </w:t>
      </w:r>
      <w:r w:rsidR="0041622A">
        <w:rPr>
          <w:rFonts w:ascii="Arial" w:eastAsia="Times New Roman" w:hAnsi="Arial"/>
          <w:sz w:val="20"/>
        </w:rPr>
        <w:t xml:space="preserve">The CEC also develops coincidence factors for non-jurisdictional LSEs in the CAISO using the methodology described above. The LSEs submit non-coincident peak forecasts to the CEC and the CEC develops the coincidence factors and provides year-ahead and month-ahead forecasts to the CAISO for all CAISO LSEs. Non-coincident forecasts are provided to the CAISO congestion revenue right allocation process and coincident forecasts to the reliability process. This ensures that both processes have consistent forecasts. </w:t>
      </w:r>
    </w:p>
    <w:p w:rsidR="00EC394E" w:rsidRPr="00CF11E9" w:rsidRDefault="002D06A6" w:rsidP="006A7C3F">
      <w:pPr>
        <w:pStyle w:val="ListParagraph"/>
        <w:numPr>
          <w:ilvl w:val="0"/>
          <w:numId w:val="15"/>
        </w:numPr>
        <w:autoSpaceDE w:val="0"/>
        <w:autoSpaceDN w:val="0"/>
        <w:adjustRightInd w:val="0"/>
        <w:spacing w:after="160" w:line="360" w:lineRule="auto"/>
        <w:ind w:left="720"/>
        <w:contextualSpacing w:val="0"/>
        <w:rPr>
          <w:rFonts w:ascii="Arial" w:hAnsi="Arial"/>
          <w:b/>
          <w:color w:val="000000"/>
          <w:sz w:val="20"/>
        </w:rPr>
      </w:pPr>
      <w:r w:rsidRPr="00CF11E9">
        <w:rPr>
          <w:rFonts w:ascii="Arial" w:hAnsi="Arial"/>
          <w:b/>
          <w:color w:val="000000"/>
          <w:sz w:val="20"/>
        </w:rPr>
        <w:t>Weather normalization</w:t>
      </w:r>
      <w:r w:rsidR="00B64BC7">
        <w:rPr>
          <w:rFonts w:ascii="Arial" w:hAnsi="Arial"/>
          <w:b/>
          <w:color w:val="000000"/>
          <w:sz w:val="20"/>
        </w:rPr>
        <w:t xml:space="preserve"> </w:t>
      </w:r>
      <w:r w:rsidR="00E01841">
        <w:rPr>
          <w:rFonts w:ascii="Arial" w:hAnsi="Arial"/>
          <w:b/>
          <w:color w:val="000000"/>
          <w:sz w:val="20"/>
        </w:rPr>
        <w:t>short term load forecast</w:t>
      </w:r>
    </w:p>
    <w:p w:rsidR="00E76266" w:rsidRDefault="00D7385B" w:rsidP="00380489">
      <w:pPr>
        <w:pStyle w:val="BodyText3"/>
        <w:spacing w:after="160"/>
      </w:pPr>
      <w:r>
        <w:rPr>
          <w:rFonts w:cs="Arial"/>
        </w:rPr>
        <w:t>W</w:t>
      </w:r>
      <w:r w:rsidRPr="00FE67EC">
        <w:rPr>
          <w:rFonts w:cs="Arial"/>
        </w:rPr>
        <w:t xml:space="preserve">eather </w:t>
      </w:r>
      <w:r>
        <w:rPr>
          <w:rFonts w:cs="Arial"/>
        </w:rPr>
        <w:t xml:space="preserve">peak </w:t>
      </w:r>
      <w:r w:rsidRPr="00FE67EC">
        <w:rPr>
          <w:rFonts w:cs="Arial"/>
        </w:rPr>
        <w:t>normalization</w:t>
      </w:r>
      <w:r>
        <w:rPr>
          <w:rFonts w:cs="Arial"/>
        </w:rPr>
        <w:t xml:space="preserve"> </w:t>
      </w:r>
      <w:r w:rsidR="00D76416">
        <w:rPr>
          <w:rFonts w:cs="Arial"/>
        </w:rPr>
        <w:t xml:space="preserve">adjusts </w:t>
      </w:r>
      <w:r w:rsidRPr="00FE67EC">
        <w:rPr>
          <w:rFonts w:cs="Arial"/>
        </w:rPr>
        <w:t>peak load</w:t>
      </w:r>
      <w:r w:rsidR="00D76416">
        <w:rPr>
          <w:rFonts w:cs="Arial"/>
        </w:rPr>
        <w:t xml:space="preserve">s so they represent peak loads </w:t>
      </w:r>
      <w:r w:rsidRPr="00FE67EC">
        <w:rPr>
          <w:rFonts w:cs="Arial"/>
        </w:rPr>
        <w:t>u</w:t>
      </w:r>
      <w:r w:rsidR="00F60886">
        <w:rPr>
          <w:rFonts w:cs="Arial"/>
        </w:rPr>
        <w:t xml:space="preserve">nder normal weather conditions; it factors out the variations in weather </w:t>
      </w:r>
      <w:r w:rsidR="00DB57DA">
        <w:rPr>
          <w:rFonts w:cs="Arial"/>
        </w:rPr>
        <w:t>allowing for</w:t>
      </w:r>
      <w:r w:rsidR="00F60886">
        <w:rPr>
          <w:rFonts w:cs="Arial"/>
        </w:rPr>
        <w:t xml:space="preserve"> comparison of peak loads over time under different weather conditions.</w:t>
      </w:r>
      <w:r w:rsidR="00DB57DA">
        <w:rPr>
          <w:rFonts w:cs="Arial"/>
        </w:rPr>
        <w:t xml:space="preserve"> </w:t>
      </w:r>
      <w:r w:rsidR="00D76416">
        <w:rPr>
          <w:rFonts w:cs="Arial"/>
        </w:rPr>
        <w:t>CEC relies on its weather normalized process to develop the short-term peak-load forecasts that</w:t>
      </w:r>
      <w:r w:rsidR="007755EA">
        <w:rPr>
          <w:rFonts w:cs="Arial"/>
        </w:rPr>
        <w:t xml:space="preserve"> are</w:t>
      </w:r>
      <w:r w:rsidR="00D76416">
        <w:rPr>
          <w:rFonts w:cs="Arial"/>
        </w:rPr>
        <w:t xml:space="preserve"> </w:t>
      </w:r>
      <w:r w:rsidR="00806AD8">
        <w:rPr>
          <w:rFonts w:cs="Arial"/>
        </w:rPr>
        <w:t>used to reconcile the aggregate LSEs year-ahead forecasts</w:t>
      </w:r>
      <w:r w:rsidR="006B10A0">
        <w:rPr>
          <w:rFonts w:cs="Arial"/>
        </w:rPr>
        <w:t xml:space="preserve"> in each IOU area for RA compliance</w:t>
      </w:r>
      <w:r w:rsidR="00E76266">
        <w:rPr>
          <w:rFonts w:cs="Arial"/>
        </w:rPr>
        <w:t xml:space="preserve">. </w:t>
      </w:r>
      <w:r w:rsidR="002D06A6">
        <w:t xml:space="preserve">The </w:t>
      </w:r>
      <w:r w:rsidR="00FA0610">
        <w:t xml:space="preserve">current </w:t>
      </w:r>
      <w:r w:rsidR="005831BE">
        <w:t xml:space="preserve">weather </w:t>
      </w:r>
      <w:r w:rsidR="002D06A6">
        <w:t>normaliz</w:t>
      </w:r>
      <w:r w:rsidR="00A20F2D">
        <w:t xml:space="preserve">ation </w:t>
      </w:r>
      <w:r w:rsidR="00FA0610">
        <w:t xml:space="preserve">process </w:t>
      </w:r>
      <w:r w:rsidR="00A20F2D">
        <w:t xml:space="preserve">consists of regressing summer peak loads </w:t>
      </w:r>
      <w:r w:rsidR="00FA0610">
        <w:t>(</w:t>
      </w:r>
      <w:r w:rsidR="005A49D0">
        <w:t>June 1 to September 30</w:t>
      </w:r>
      <w:r w:rsidR="00FA0610">
        <w:t>)</w:t>
      </w:r>
      <w:r w:rsidR="005A49D0">
        <w:t xml:space="preserve"> </w:t>
      </w:r>
      <w:r w:rsidR="00A20F2D">
        <w:t>on weather and calendar effects</w:t>
      </w:r>
      <w:r w:rsidR="00A558A9">
        <w:t xml:space="preserve">, </w:t>
      </w:r>
      <w:r w:rsidR="00970FFE">
        <w:t>i.e.,</w:t>
      </w:r>
      <w:r w:rsidR="00BC34B3">
        <w:t xml:space="preserve"> daily temperatures</w:t>
      </w:r>
      <w:r w:rsidR="000A258E">
        <w:t xml:space="preserve"> and</w:t>
      </w:r>
      <w:r w:rsidR="00E76266">
        <w:t xml:space="preserve"> </w:t>
      </w:r>
      <w:r w:rsidR="000A258E">
        <w:t xml:space="preserve">time dummies. </w:t>
      </w:r>
      <w:r w:rsidR="005A4B6D">
        <w:t>The regression estimates are then used with historical weather patterns in a</w:t>
      </w:r>
      <w:r w:rsidR="00A20F2D">
        <w:t xml:space="preserve"> Monte Carlo simulation</w:t>
      </w:r>
      <w:r w:rsidR="00E76266">
        <w:t xml:space="preserve"> to produce</w:t>
      </w:r>
      <w:r w:rsidR="005A4B6D">
        <w:t xml:space="preserve"> a distribution of</w:t>
      </w:r>
      <w:r w:rsidR="00F60886">
        <w:t xml:space="preserve"> summer peak loads </w:t>
      </w:r>
      <w:r w:rsidR="005A4B6D">
        <w:t xml:space="preserve">of which the median represents </w:t>
      </w:r>
      <w:r w:rsidR="00A20F2D">
        <w:t>the weather normalized summer peak load.</w:t>
      </w:r>
      <w:r w:rsidR="007D1055">
        <w:t xml:space="preserve"> </w:t>
      </w:r>
    </w:p>
    <w:p w:rsidR="007B5BC6" w:rsidRDefault="007D1055" w:rsidP="003F724E">
      <w:pPr>
        <w:pStyle w:val="BodyText3"/>
        <w:spacing w:after="160"/>
        <w:ind w:firstLine="288"/>
        <w:rPr>
          <w:rFonts w:cs="Arial"/>
        </w:rPr>
      </w:pPr>
      <w:r>
        <w:t xml:space="preserve">The key input in performing the normalization is </w:t>
      </w:r>
      <w:r w:rsidR="005A4B6D">
        <w:t xml:space="preserve">defining </w:t>
      </w:r>
      <w:r w:rsidR="009A7131">
        <w:t>the time</w:t>
      </w:r>
      <w:r>
        <w:t>frame</w:t>
      </w:r>
      <w:r w:rsidR="00F854CE">
        <w:t>s</w:t>
      </w:r>
      <w:r>
        <w:t xml:space="preserve"> </w:t>
      </w:r>
      <w:r w:rsidR="00DB57DA">
        <w:t xml:space="preserve">to be </w:t>
      </w:r>
      <w:r w:rsidR="005A4B6D">
        <w:t>used in</w:t>
      </w:r>
      <w:r>
        <w:t xml:space="preserve"> estimating peak load </w:t>
      </w:r>
      <w:r w:rsidR="00E81010">
        <w:t xml:space="preserve">responses to temperature </w:t>
      </w:r>
      <w:r>
        <w:t xml:space="preserve">and </w:t>
      </w:r>
      <w:r w:rsidR="00E81010">
        <w:t xml:space="preserve">in defining </w:t>
      </w:r>
      <w:r>
        <w:t>normal weather conditio</w:t>
      </w:r>
      <w:r w:rsidR="00596989">
        <w:t>ns</w:t>
      </w:r>
      <w:r w:rsidR="005831BE">
        <w:t xml:space="preserve"> in the Monte Carlo simulation</w:t>
      </w:r>
      <w:r w:rsidR="00596989">
        <w:t xml:space="preserve">. </w:t>
      </w:r>
      <w:r w:rsidR="00687EF1">
        <w:t xml:space="preserve">The </w:t>
      </w:r>
      <w:r w:rsidR="006E223D">
        <w:rPr>
          <w:rFonts w:cs="Arial"/>
        </w:rPr>
        <w:t xml:space="preserve">historical </w:t>
      </w:r>
      <w:r w:rsidR="005831BE">
        <w:rPr>
          <w:rFonts w:cs="Arial"/>
        </w:rPr>
        <w:t>process</w:t>
      </w:r>
      <w:r w:rsidR="009D1E4C">
        <w:rPr>
          <w:rFonts w:cs="Arial"/>
        </w:rPr>
        <w:t xml:space="preserve"> </w:t>
      </w:r>
      <w:r w:rsidR="007B5BC6">
        <w:rPr>
          <w:rFonts w:cs="Arial"/>
        </w:rPr>
        <w:t xml:space="preserve">(used up until this year) </w:t>
      </w:r>
      <w:r w:rsidR="00596989">
        <w:rPr>
          <w:rFonts w:cs="Arial"/>
        </w:rPr>
        <w:t>use</w:t>
      </w:r>
      <w:r w:rsidR="007B5BC6">
        <w:rPr>
          <w:rFonts w:cs="Arial"/>
        </w:rPr>
        <w:t xml:space="preserve">d </w:t>
      </w:r>
      <w:r w:rsidR="005831BE">
        <w:rPr>
          <w:rFonts w:cs="Arial"/>
        </w:rPr>
        <w:t xml:space="preserve">the following timeframes: </w:t>
      </w:r>
      <w:r w:rsidR="00E81010">
        <w:rPr>
          <w:rFonts w:cs="Arial"/>
        </w:rPr>
        <w:t>first, the current</w:t>
      </w:r>
      <w:r w:rsidR="005831BE">
        <w:rPr>
          <w:rFonts w:cs="Arial"/>
        </w:rPr>
        <w:t xml:space="preserve"> </w:t>
      </w:r>
      <w:r w:rsidR="009D1E4C">
        <w:rPr>
          <w:rFonts w:cs="Arial"/>
        </w:rPr>
        <w:t xml:space="preserve">one year </w:t>
      </w:r>
      <w:r w:rsidR="005A49D0">
        <w:rPr>
          <w:rFonts w:cs="Arial"/>
        </w:rPr>
        <w:t>of CAISO’s Energy Management System (EMS) data</w:t>
      </w:r>
      <w:r w:rsidR="00FB7E6B">
        <w:rPr>
          <w:rFonts w:cs="Arial"/>
        </w:rPr>
        <w:t xml:space="preserve"> </w:t>
      </w:r>
      <w:r w:rsidR="005A49D0">
        <w:rPr>
          <w:rFonts w:cs="Arial"/>
        </w:rPr>
        <w:t xml:space="preserve">from </w:t>
      </w:r>
      <w:r w:rsidR="00BB2E03">
        <w:rPr>
          <w:rFonts w:cs="Arial"/>
        </w:rPr>
        <w:t xml:space="preserve">TAC </w:t>
      </w:r>
      <w:r w:rsidR="005A49D0">
        <w:rPr>
          <w:rFonts w:cs="Arial"/>
        </w:rPr>
        <w:t xml:space="preserve">areas </w:t>
      </w:r>
      <w:r w:rsidR="009D1E4C">
        <w:rPr>
          <w:rFonts w:cs="Arial"/>
        </w:rPr>
        <w:t>to estimate peak loa</w:t>
      </w:r>
      <w:r w:rsidR="00596989">
        <w:rPr>
          <w:rFonts w:cs="Arial"/>
        </w:rPr>
        <w:t xml:space="preserve">d </w:t>
      </w:r>
      <w:r w:rsidR="00E81010">
        <w:rPr>
          <w:rFonts w:cs="Arial"/>
        </w:rPr>
        <w:t>responses</w:t>
      </w:r>
      <w:r w:rsidR="00596989">
        <w:rPr>
          <w:rFonts w:cs="Arial"/>
        </w:rPr>
        <w:t xml:space="preserve"> to weather and </w:t>
      </w:r>
      <w:r w:rsidR="00E81010">
        <w:rPr>
          <w:rFonts w:cs="Arial"/>
        </w:rPr>
        <w:t xml:space="preserve">second, </w:t>
      </w:r>
      <w:r w:rsidR="006E223D">
        <w:rPr>
          <w:rFonts w:cs="Arial"/>
        </w:rPr>
        <w:t xml:space="preserve">60 </w:t>
      </w:r>
      <w:r w:rsidR="009D1E4C">
        <w:rPr>
          <w:rFonts w:cs="Arial"/>
        </w:rPr>
        <w:t>years of weather data to de</w:t>
      </w:r>
      <w:r w:rsidR="00596989">
        <w:rPr>
          <w:rFonts w:cs="Arial"/>
        </w:rPr>
        <w:t>fine normal weather conditions</w:t>
      </w:r>
      <w:r w:rsidR="005831BE">
        <w:rPr>
          <w:rFonts w:cs="Arial"/>
        </w:rPr>
        <w:t>.</w:t>
      </w:r>
    </w:p>
    <w:p w:rsidR="00851602" w:rsidRDefault="009A7131" w:rsidP="009B7EDB">
      <w:pPr>
        <w:pStyle w:val="BodyText3"/>
        <w:spacing w:after="160"/>
        <w:ind w:firstLine="288"/>
        <w:rPr>
          <w:rFonts w:cs="Arial"/>
        </w:rPr>
      </w:pPr>
      <w:r>
        <w:rPr>
          <w:rFonts w:cs="Arial"/>
        </w:rPr>
        <w:t>In an attempt to better capture peak load’s weather sensitivity and adequately represent the latest weather patterns, the timeframes were change</w:t>
      </w:r>
      <w:r w:rsidR="008A5F93">
        <w:rPr>
          <w:rFonts w:cs="Arial"/>
        </w:rPr>
        <w:t>d</w:t>
      </w:r>
      <w:r w:rsidR="00DB57DA">
        <w:rPr>
          <w:rFonts w:cs="Arial"/>
        </w:rPr>
        <w:t xml:space="preserve"> this year to include</w:t>
      </w:r>
      <w:r w:rsidR="00116815">
        <w:rPr>
          <w:rFonts w:cs="Arial"/>
        </w:rPr>
        <w:t xml:space="preserve"> four years of CAISO’s EMS data to estimate peak</w:t>
      </w:r>
      <w:r w:rsidR="008A5F93">
        <w:rPr>
          <w:rFonts w:cs="Arial"/>
        </w:rPr>
        <w:t xml:space="preserve"> load sensitivity to weather</w:t>
      </w:r>
      <w:r w:rsidR="00116815">
        <w:rPr>
          <w:rFonts w:cs="Arial"/>
        </w:rPr>
        <w:t xml:space="preserve"> </w:t>
      </w:r>
      <w:r w:rsidR="00DB57DA">
        <w:rPr>
          <w:rFonts w:cs="Arial"/>
        </w:rPr>
        <w:t xml:space="preserve">and </w:t>
      </w:r>
      <w:r w:rsidR="008A5F93">
        <w:rPr>
          <w:rFonts w:cs="Arial"/>
        </w:rPr>
        <w:t>30</w:t>
      </w:r>
      <w:r w:rsidR="00116815">
        <w:rPr>
          <w:rFonts w:cs="Arial"/>
        </w:rPr>
        <w:t xml:space="preserve"> years of weather data to define normal weather conditions.</w:t>
      </w:r>
      <w:r w:rsidR="00A062F5">
        <w:rPr>
          <w:rFonts w:cs="Arial"/>
        </w:rPr>
        <w:t xml:space="preserve"> The new timeframes and the current weather normalization process are detailed in two broad steps below.</w:t>
      </w:r>
    </w:p>
    <w:p w:rsidR="00387BA7" w:rsidRDefault="00726237" w:rsidP="004B0046">
      <w:pPr>
        <w:pStyle w:val="BodyText3"/>
        <w:spacing w:after="160"/>
        <w:ind w:firstLine="288"/>
        <w:rPr>
          <w:rFonts w:cs="Arial"/>
        </w:rPr>
      </w:pPr>
      <w:r>
        <w:rPr>
          <w:rFonts w:cs="Arial"/>
        </w:rPr>
        <w:t>Firs</w:t>
      </w:r>
      <w:r w:rsidR="009B7EDB">
        <w:rPr>
          <w:rFonts w:cs="Arial"/>
        </w:rPr>
        <w:t>t</w:t>
      </w:r>
      <w:r>
        <w:rPr>
          <w:rFonts w:cs="Arial"/>
        </w:rPr>
        <w:t xml:space="preserve">, </w:t>
      </w:r>
      <w:r w:rsidR="00485E27">
        <w:rPr>
          <w:rFonts w:cs="Arial"/>
        </w:rPr>
        <w:t>the CEC develop</w:t>
      </w:r>
      <w:r w:rsidR="0029718C">
        <w:rPr>
          <w:rFonts w:cs="Arial"/>
        </w:rPr>
        <w:t>s</w:t>
      </w:r>
      <w:r w:rsidR="009B7EDB">
        <w:rPr>
          <w:rFonts w:cs="Arial"/>
        </w:rPr>
        <w:t xml:space="preserve"> </w:t>
      </w:r>
      <w:r>
        <w:rPr>
          <w:rFonts w:cs="Arial"/>
        </w:rPr>
        <w:t xml:space="preserve">a time-series regressive </w:t>
      </w:r>
      <w:r w:rsidRPr="00CF11B8">
        <w:rPr>
          <w:rFonts w:cs="Arial"/>
        </w:rPr>
        <w:t>equation</w:t>
      </w:r>
      <w:r w:rsidR="009B7EDB">
        <w:rPr>
          <w:rFonts w:cs="Arial"/>
        </w:rPr>
        <w:t xml:space="preserve"> </w:t>
      </w:r>
      <w:r w:rsidRPr="00CF11B8">
        <w:rPr>
          <w:rFonts w:cs="Arial"/>
        </w:rPr>
        <w:t xml:space="preserve">relating daily </w:t>
      </w:r>
      <w:r>
        <w:rPr>
          <w:rFonts w:cs="Arial"/>
        </w:rPr>
        <w:t>peak load</w:t>
      </w:r>
      <w:r w:rsidR="00485E27">
        <w:rPr>
          <w:rFonts w:cs="Arial"/>
        </w:rPr>
        <w:t xml:space="preserve"> to </w:t>
      </w:r>
      <w:r w:rsidRPr="00CF11B8">
        <w:rPr>
          <w:rFonts w:cs="Arial"/>
        </w:rPr>
        <w:t>daily weather co</w:t>
      </w:r>
      <w:r>
        <w:rPr>
          <w:rFonts w:cs="Arial"/>
        </w:rPr>
        <w:t>nditions</w:t>
      </w:r>
      <w:r w:rsidR="004F6ACC">
        <w:rPr>
          <w:rFonts w:cs="Arial"/>
        </w:rPr>
        <w:t xml:space="preserve"> and calendar effects</w:t>
      </w:r>
      <w:r w:rsidR="00851602">
        <w:rPr>
          <w:rFonts w:cs="Arial"/>
        </w:rPr>
        <w:t xml:space="preserve"> </w:t>
      </w:r>
      <w:r>
        <w:rPr>
          <w:rFonts w:cs="Arial"/>
        </w:rPr>
        <w:t xml:space="preserve">using the </w:t>
      </w:r>
      <w:r w:rsidR="009B7EDB">
        <w:rPr>
          <w:rStyle w:val="report6"/>
        </w:rPr>
        <w:t>three previous years</w:t>
      </w:r>
      <w:r w:rsidR="009B7EDB" w:rsidRPr="00CF11B8">
        <w:rPr>
          <w:rFonts w:cs="Arial"/>
        </w:rPr>
        <w:t xml:space="preserve"> </w:t>
      </w:r>
      <w:r w:rsidRPr="00CF11B8">
        <w:rPr>
          <w:rFonts w:cs="Arial"/>
        </w:rPr>
        <w:t xml:space="preserve">of </w:t>
      </w:r>
      <w:r w:rsidR="0029718C">
        <w:rPr>
          <w:rFonts w:cs="Arial"/>
        </w:rPr>
        <w:t xml:space="preserve">EMS </w:t>
      </w:r>
      <w:r w:rsidRPr="00CF11B8">
        <w:rPr>
          <w:rFonts w:cs="Arial"/>
        </w:rPr>
        <w:t>data</w:t>
      </w:r>
      <w:r w:rsidR="009B7EDB">
        <w:rPr>
          <w:rFonts w:cs="Arial"/>
        </w:rPr>
        <w:t>, i.e., excluding the current year</w:t>
      </w:r>
      <w:r w:rsidR="00851602">
        <w:rPr>
          <w:rFonts w:cs="Arial"/>
        </w:rPr>
        <w:t>.</w:t>
      </w:r>
      <w:r w:rsidR="004B0046">
        <w:rPr>
          <w:rFonts w:cs="Arial"/>
        </w:rPr>
        <w:t xml:space="preserve"> </w:t>
      </w:r>
      <w:r w:rsidR="00851602">
        <w:rPr>
          <w:rFonts w:cs="Arial"/>
        </w:rPr>
        <w:t>The best combination of weather and calendar effects and functional form</w:t>
      </w:r>
      <w:r w:rsidR="004B0046">
        <w:rPr>
          <w:rFonts w:cs="Arial"/>
        </w:rPr>
        <w:t xml:space="preserve"> </w:t>
      </w:r>
      <w:r w:rsidR="00851602">
        <w:rPr>
          <w:rFonts w:cs="Arial"/>
        </w:rPr>
        <w:t>based on in-sample (three previous years) and out-of-sample (current year) goodness of fit statistics</w:t>
      </w:r>
      <w:r w:rsidR="004B0046">
        <w:rPr>
          <w:rFonts w:cs="Arial"/>
        </w:rPr>
        <w:t xml:space="preserve"> f</w:t>
      </w:r>
      <w:r w:rsidR="00851602">
        <w:rPr>
          <w:rFonts w:cs="Arial"/>
        </w:rPr>
        <w:t>rom the first regression is used to develop a second time-series regressive equation using the current year and the previous two years of EMS data.</w:t>
      </w:r>
    </w:p>
    <w:p w:rsidR="001A670A" w:rsidRDefault="004B0046" w:rsidP="004B0046">
      <w:pPr>
        <w:pStyle w:val="BodyText3"/>
        <w:spacing w:after="160"/>
        <w:ind w:firstLine="288"/>
        <w:rPr>
          <w:rStyle w:val="report6"/>
        </w:rPr>
      </w:pPr>
      <w:r>
        <w:rPr>
          <w:rFonts w:cs="Arial"/>
        </w:rPr>
        <w:t>Second</w:t>
      </w:r>
      <w:r w:rsidR="001A670A">
        <w:rPr>
          <w:rFonts w:cs="Arial"/>
        </w:rPr>
        <w:t>, from</w:t>
      </w:r>
      <w:r w:rsidR="00E95F2C">
        <w:rPr>
          <w:rStyle w:val="report6"/>
        </w:rPr>
        <w:t xml:space="preserve"> the </w:t>
      </w:r>
      <w:r>
        <w:rPr>
          <w:rStyle w:val="report6"/>
        </w:rPr>
        <w:t xml:space="preserve">second </w:t>
      </w:r>
      <w:r w:rsidR="00E95F2C">
        <w:rPr>
          <w:rStyle w:val="report6"/>
        </w:rPr>
        <w:t xml:space="preserve">fitted time-series regressive model, the estimates </w:t>
      </w:r>
      <w:r>
        <w:rPr>
          <w:rStyle w:val="report6"/>
        </w:rPr>
        <w:t>are</w:t>
      </w:r>
      <w:r w:rsidR="00E95F2C">
        <w:rPr>
          <w:rStyle w:val="report6"/>
        </w:rPr>
        <w:t xml:space="preserve"> then be multiplied by the corresponding </w:t>
      </w:r>
      <w:r w:rsidR="00B55221">
        <w:rPr>
          <w:rStyle w:val="report6"/>
        </w:rPr>
        <w:t xml:space="preserve">30 years of </w:t>
      </w:r>
      <w:r w:rsidR="00E95F2C">
        <w:rPr>
          <w:rStyle w:val="report6"/>
        </w:rPr>
        <w:t xml:space="preserve">historical weather data to build a Monte Carlo simulation of expected peak loads for each summer day and historical weather year. Every peak load in each of those days is assumed on a weekday and non-holiday, i.e., peak producing days. </w:t>
      </w:r>
      <w:r w:rsidR="00387BA7">
        <w:rPr>
          <w:rStyle w:val="report6"/>
        </w:rPr>
        <w:t xml:space="preserve">The probability distribution of </w:t>
      </w:r>
      <w:r w:rsidR="00EE1D18">
        <w:rPr>
          <w:rStyle w:val="report6"/>
        </w:rPr>
        <w:t xml:space="preserve">maximum annual daily </w:t>
      </w:r>
      <w:r w:rsidR="00387BA7">
        <w:rPr>
          <w:rStyle w:val="report6"/>
        </w:rPr>
        <w:t>peak load</w:t>
      </w:r>
      <w:r w:rsidR="00F263EF">
        <w:rPr>
          <w:rStyle w:val="report6"/>
        </w:rPr>
        <w:t xml:space="preserve"> </w:t>
      </w:r>
      <w:r w:rsidR="00EE1D18">
        <w:rPr>
          <w:rStyle w:val="report6"/>
        </w:rPr>
        <w:t xml:space="preserve">for each of the 30 historical weather years </w:t>
      </w:r>
      <w:r w:rsidR="00387BA7">
        <w:rPr>
          <w:rStyle w:val="report6"/>
        </w:rPr>
        <w:t>provides a measure of the uncertainties associated with the volatility of the yearly peak demand responses to realistic temperature patterns that prevailed across the TAC areas for the last 30 years.</w:t>
      </w:r>
      <w:r w:rsidR="00387BA7">
        <w:rPr>
          <w:rFonts w:cs="Arial"/>
        </w:rPr>
        <w:t xml:space="preserve"> </w:t>
      </w:r>
      <w:r w:rsidR="00D10765">
        <w:rPr>
          <w:rStyle w:val="report6"/>
        </w:rPr>
        <w:t xml:space="preserve">The one-in-two or the </w:t>
      </w:r>
      <w:r w:rsidR="00E95F2C">
        <w:rPr>
          <w:rStyle w:val="report6"/>
        </w:rPr>
        <w:t>50</w:t>
      </w:r>
      <w:r w:rsidR="00E95F2C" w:rsidRPr="00DB009E">
        <w:rPr>
          <w:rStyle w:val="report6"/>
          <w:vertAlign w:val="superscript"/>
        </w:rPr>
        <w:t>th</w:t>
      </w:r>
      <w:r w:rsidR="00E95F2C">
        <w:rPr>
          <w:rStyle w:val="report6"/>
        </w:rPr>
        <w:t xml:space="preserve"> percentile </w:t>
      </w:r>
      <w:r w:rsidR="00D10765">
        <w:rPr>
          <w:rStyle w:val="report6"/>
        </w:rPr>
        <w:t>of the probability distribution</w:t>
      </w:r>
      <w:r w:rsidR="00E95F2C">
        <w:rPr>
          <w:rStyle w:val="report6"/>
        </w:rPr>
        <w:t xml:space="preserve"> represent</w:t>
      </w:r>
      <w:r w:rsidR="00D10765">
        <w:rPr>
          <w:rStyle w:val="report6"/>
        </w:rPr>
        <w:t>s</w:t>
      </w:r>
      <w:r w:rsidR="00E95F2C">
        <w:rPr>
          <w:rStyle w:val="report6"/>
        </w:rPr>
        <w:t xml:space="preserve"> the most likely weather normalized peak </w:t>
      </w:r>
      <w:r>
        <w:rPr>
          <w:rStyle w:val="report6"/>
        </w:rPr>
        <w:t>loads. The</w:t>
      </w:r>
      <w:r w:rsidR="00E95F2C">
        <w:rPr>
          <w:rStyle w:val="report6"/>
        </w:rPr>
        <w:t xml:space="preserve"> one-in-ten or the 90th percentile to the 50th percentile</w:t>
      </w:r>
      <w:r w:rsidR="00D10765">
        <w:rPr>
          <w:rStyle w:val="report6"/>
        </w:rPr>
        <w:t xml:space="preserve"> </w:t>
      </w:r>
      <w:r w:rsidR="00E95F2C">
        <w:rPr>
          <w:rStyle w:val="report6"/>
        </w:rPr>
        <w:t>expresses the peak demands at extreme temperatures</w:t>
      </w:r>
      <w:r>
        <w:rPr>
          <w:rStyle w:val="report6"/>
        </w:rPr>
        <w:t>.</w:t>
      </w:r>
    </w:p>
    <w:p w:rsidR="00C03968" w:rsidRPr="00C03968" w:rsidRDefault="00510E9A" w:rsidP="00C03968">
      <w:pPr>
        <w:pStyle w:val="BodyText3"/>
        <w:spacing w:after="160"/>
        <w:ind w:firstLine="288"/>
        <w:rPr>
          <w:color w:val="FF0000"/>
        </w:rPr>
      </w:pPr>
      <w:r>
        <w:rPr>
          <w:rStyle w:val="report6"/>
        </w:rPr>
        <w:t xml:space="preserve">The </w:t>
      </w:r>
      <w:r w:rsidR="00045FE3">
        <w:rPr>
          <w:rStyle w:val="report6"/>
        </w:rPr>
        <w:t>one</w:t>
      </w:r>
      <w:r w:rsidR="004B0046">
        <w:rPr>
          <w:rStyle w:val="report6"/>
        </w:rPr>
        <w:t>-in-</w:t>
      </w:r>
      <w:r w:rsidR="00045FE3">
        <w:rPr>
          <w:rStyle w:val="report6"/>
        </w:rPr>
        <w:t>two</w:t>
      </w:r>
      <w:r>
        <w:rPr>
          <w:rStyle w:val="report6"/>
        </w:rPr>
        <w:t xml:space="preserve"> weather normalized peak loads by TAC areas</w:t>
      </w:r>
      <w:r w:rsidR="00205C39">
        <w:rPr>
          <w:rStyle w:val="report6"/>
        </w:rPr>
        <w:t xml:space="preserve"> form the base to develop</w:t>
      </w:r>
      <w:r w:rsidR="001C39BC">
        <w:rPr>
          <w:rStyle w:val="report6"/>
        </w:rPr>
        <w:t xml:space="preserve"> Integrated Energy Policy Report</w:t>
      </w:r>
      <w:r w:rsidR="00205C39">
        <w:rPr>
          <w:rStyle w:val="report6"/>
        </w:rPr>
        <w:t xml:space="preserve"> </w:t>
      </w:r>
      <w:r w:rsidR="001C39BC">
        <w:rPr>
          <w:rStyle w:val="report6"/>
        </w:rPr>
        <w:t>(</w:t>
      </w:r>
      <w:r w:rsidR="00205C39">
        <w:rPr>
          <w:rStyle w:val="report6"/>
        </w:rPr>
        <w:t>IEPR</w:t>
      </w:r>
      <w:r w:rsidR="001C39BC">
        <w:rPr>
          <w:rStyle w:val="report6"/>
        </w:rPr>
        <w:t>)</w:t>
      </w:r>
      <w:r w:rsidR="00205C39">
        <w:rPr>
          <w:rStyle w:val="report6"/>
        </w:rPr>
        <w:t xml:space="preserve"> peak loads at the IOUs service area</w:t>
      </w:r>
      <w:r w:rsidR="00C41465">
        <w:rPr>
          <w:rStyle w:val="report6"/>
        </w:rPr>
        <w:t>s</w:t>
      </w:r>
      <w:r w:rsidR="008E7DC6">
        <w:rPr>
          <w:rStyle w:val="report6"/>
        </w:rPr>
        <w:t xml:space="preserve"> after they have been </w:t>
      </w:r>
      <w:r w:rsidR="00C41465">
        <w:rPr>
          <w:rStyle w:val="report6"/>
        </w:rPr>
        <w:t>adjusted downward by critical peak pricing, peak time rebate and non-event based demand program impacts</w:t>
      </w:r>
      <w:r w:rsidR="00045FE3">
        <w:rPr>
          <w:rStyle w:val="report6"/>
        </w:rPr>
        <w:t xml:space="preserve"> (</w:t>
      </w:r>
      <w:r w:rsidR="00C41465">
        <w:rPr>
          <w:rStyle w:val="report6"/>
        </w:rPr>
        <w:t>real time or time of use pricing and permanent load shifting</w:t>
      </w:r>
      <w:r w:rsidR="00045FE3">
        <w:rPr>
          <w:rStyle w:val="report6"/>
        </w:rPr>
        <w:t>)</w:t>
      </w:r>
      <w:r w:rsidR="00D74247">
        <w:rPr>
          <w:rStyle w:val="report6"/>
        </w:rPr>
        <w:t>.</w:t>
      </w:r>
      <w:r w:rsidR="00D74247" w:rsidRPr="00D74247">
        <w:rPr>
          <w:rStyle w:val="report6"/>
        </w:rPr>
        <w:t xml:space="preserve"> </w:t>
      </w:r>
      <w:r w:rsidR="00D74247">
        <w:rPr>
          <w:rStyle w:val="report6"/>
        </w:rPr>
        <w:t xml:space="preserve">In order to avoid double counting, it is necessary that </w:t>
      </w:r>
      <w:r w:rsidR="00D74247">
        <w:rPr>
          <w:rFonts w:cs="Arial"/>
        </w:rPr>
        <w:t>the IOUs provide detail information about the event and non-event based demand response programs included in the data supplied to CEC</w:t>
      </w:r>
      <w:r w:rsidR="00D74247" w:rsidRPr="0089447A">
        <w:rPr>
          <w:rFonts w:cs="Arial"/>
        </w:rPr>
        <w:t xml:space="preserve">. </w:t>
      </w:r>
      <w:r w:rsidR="00D74247" w:rsidRPr="0089447A">
        <w:rPr>
          <w:rStyle w:val="report6"/>
        </w:rPr>
        <w:t xml:space="preserve">The one-in-ten weather normalized peak loads by TAC areas projected two-year ahead using the latest economic and demographic </w:t>
      </w:r>
      <w:r w:rsidR="00BF4529" w:rsidRPr="0089447A">
        <w:rPr>
          <w:rStyle w:val="report6"/>
        </w:rPr>
        <w:t>information</w:t>
      </w:r>
      <w:r w:rsidR="00D74247" w:rsidRPr="0089447A">
        <w:rPr>
          <w:rStyle w:val="report6"/>
        </w:rPr>
        <w:t xml:space="preserve"> are provided to the CAISO </w:t>
      </w:r>
      <w:r w:rsidR="00B62736" w:rsidRPr="0089447A">
        <w:rPr>
          <w:rStyle w:val="report6"/>
        </w:rPr>
        <w:t xml:space="preserve">by the end of the current year </w:t>
      </w:r>
      <w:r w:rsidR="0038504B" w:rsidRPr="0089447A">
        <w:rPr>
          <w:rStyle w:val="report6"/>
        </w:rPr>
        <w:t xml:space="preserve">to be used in </w:t>
      </w:r>
      <w:r w:rsidR="00CD79C0" w:rsidRPr="0089447A">
        <w:rPr>
          <w:rStyle w:val="report6"/>
        </w:rPr>
        <w:t xml:space="preserve">its </w:t>
      </w:r>
      <w:r w:rsidR="00D74247" w:rsidRPr="0089447A">
        <w:rPr>
          <w:rStyle w:val="report6"/>
        </w:rPr>
        <w:t>two-year</w:t>
      </w:r>
      <w:r w:rsidR="00C03968" w:rsidRPr="0089447A">
        <w:rPr>
          <w:rStyle w:val="report6"/>
        </w:rPr>
        <w:t xml:space="preserve"> </w:t>
      </w:r>
      <w:r w:rsidR="00D74247" w:rsidRPr="0089447A">
        <w:rPr>
          <w:rStyle w:val="report6"/>
        </w:rPr>
        <w:t xml:space="preserve">ahead </w:t>
      </w:r>
      <w:r w:rsidR="00CD79C0" w:rsidRPr="0089447A">
        <w:rPr>
          <w:rStyle w:val="report6"/>
        </w:rPr>
        <w:t>analysis of local capacity requirements.</w:t>
      </w:r>
      <w:r w:rsidR="00B62736" w:rsidRPr="0089447A">
        <w:rPr>
          <w:rStyle w:val="report6"/>
        </w:rPr>
        <w:t xml:space="preserve"> </w:t>
      </w:r>
      <w:r w:rsidR="00C03968" w:rsidRPr="0089447A">
        <w:rPr>
          <w:rStyle w:val="report6"/>
        </w:rPr>
        <w:t>This means that the short-term peak-load forecasts that CEC uses to reconcile the aggregate LSEs year-ahead forecasts in each IOU area for RA compliance are locked two-years out</w:t>
      </w:r>
      <w:r w:rsidR="00C03968" w:rsidRPr="00C03968">
        <w:rPr>
          <w:rStyle w:val="report6"/>
          <w:color w:val="FF0000"/>
        </w:rPr>
        <w:t>.</w:t>
      </w:r>
    </w:p>
    <w:p w:rsidR="00726237" w:rsidRDefault="00726237" w:rsidP="005E62F0">
      <w:pPr>
        <w:pStyle w:val="BodyText3"/>
        <w:spacing w:after="160"/>
        <w:ind w:firstLine="288"/>
        <w:rPr>
          <w:rFonts w:cs="Arial"/>
        </w:rPr>
      </w:pPr>
      <w:r w:rsidRPr="00C226F8">
        <w:rPr>
          <w:rFonts w:cs="Arial"/>
        </w:rPr>
        <w:t>In light of the increased volatility o</w:t>
      </w:r>
      <w:r w:rsidR="00AB063A">
        <w:rPr>
          <w:rFonts w:cs="Arial"/>
        </w:rPr>
        <w:t>f</w:t>
      </w:r>
      <w:r>
        <w:rPr>
          <w:rFonts w:cs="Arial"/>
        </w:rPr>
        <w:t xml:space="preserve"> </w:t>
      </w:r>
      <w:r w:rsidRPr="00C226F8">
        <w:rPr>
          <w:rFonts w:cs="Arial"/>
        </w:rPr>
        <w:t xml:space="preserve">peak </w:t>
      </w:r>
      <w:r>
        <w:rPr>
          <w:rFonts w:cs="Arial"/>
        </w:rPr>
        <w:t xml:space="preserve">and weather </w:t>
      </w:r>
      <w:r w:rsidRPr="00C226F8">
        <w:rPr>
          <w:rFonts w:cs="Arial"/>
        </w:rPr>
        <w:t>in recent years</w:t>
      </w:r>
      <w:r>
        <w:rPr>
          <w:rFonts w:cs="Arial"/>
        </w:rPr>
        <w:t xml:space="preserve"> and the possibility that weather changes may </w:t>
      </w:r>
      <w:r w:rsidR="00AB063A">
        <w:rPr>
          <w:rFonts w:cs="Arial"/>
        </w:rPr>
        <w:t xml:space="preserve">become persistent, </w:t>
      </w:r>
      <w:r w:rsidRPr="00C226F8">
        <w:rPr>
          <w:rFonts w:cs="Arial"/>
        </w:rPr>
        <w:t xml:space="preserve">the </w:t>
      </w:r>
      <w:r>
        <w:rPr>
          <w:rFonts w:cs="Arial"/>
        </w:rPr>
        <w:t>peak to weather</w:t>
      </w:r>
      <w:r w:rsidRPr="00C226F8">
        <w:rPr>
          <w:rFonts w:cs="Arial"/>
        </w:rPr>
        <w:t xml:space="preserve"> relationship should be reviewed and updated </w:t>
      </w:r>
      <w:r w:rsidR="00713F70">
        <w:rPr>
          <w:rFonts w:cs="Arial"/>
        </w:rPr>
        <w:t xml:space="preserve">regularly to ensure it maintains consistency with future weather </w:t>
      </w:r>
      <w:r w:rsidR="00F263EF">
        <w:rPr>
          <w:rFonts w:cs="Arial"/>
        </w:rPr>
        <w:t>trends. The</w:t>
      </w:r>
      <w:r>
        <w:rPr>
          <w:rFonts w:cs="Arial"/>
        </w:rPr>
        <w:t xml:space="preserve"> process should include investigating the boundaries of applicability of </w:t>
      </w:r>
      <w:r w:rsidR="00D949E4">
        <w:rPr>
          <w:rFonts w:cs="Arial"/>
        </w:rPr>
        <w:t>CEC</w:t>
      </w:r>
      <w:r>
        <w:rPr>
          <w:rFonts w:cs="Arial"/>
        </w:rPr>
        <w:t xml:space="preserve">’s developed </w:t>
      </w:r>
      <w:r w:rsidR="00D949E4">
        <w:rPr>
          <w:rFonts w:cs="Arial"/>
        </w:rPr>
        <w:t xml:space="preserve">time-series </w:t>
      </w:r>
      <w:r>
        <w:rPr>
          <w:rFonts w:cs="Arial"/>
        </w:rPr>
        <w:t>statistical models</w:t>
      </w:r>
      <w:r w:rsidR="00D949E4">
        <w:rPr>
          <w:rFonts w:cs="Arial"/>
        </w:rPr>
        <w:t>, variable selection process,</w:t>
      </w:r>
      <w:r>
        <w:rPr>
          <w:rFonts w:cs="Arial"/>
        </w:rPr>
        <w:t xml:space="preserve"> </w:t>
      </w:r>
      <w:r w:rsidR="00DF2601">
        <w:rPr>
          <w:rFonts w:cs="Arial"/>
        </w:rPr>
        <w:t xml:space="preserve">functional form, </w:t>
      </w:r>
      <w:r>
        <w:rPr>
          <w:rFonts w:cs="Arial"/>
        </w:rPr>
        <w:t>and their application to explain better peak load sensitivities to weather and to account for weather fluctuations over time</w:t>
      </w:r>
      <w:r w:rsidR="00FE2F0B">
        <w:rPr>
          <w:rFonts w:cs="Arial"/>
        </w:rPr>
        <w:t>.</w:t>
      </w:r>
    </w:p>
    <w:p w:rsidR="000D5A47" w:rsidRPr="00CF11E9" w:rsidRDefault="000C6615" w:rsidP="005E62F0">
      <w:pPr>
        <w:pStyle w:val="ListParagraph"/>
        <w:numPr>
          <w:ilvl w:val="0"/>
          <w:numId w:val="15"/>
        </w:numPr>
        <w:autoSpaceDE w:val="0"/>
        <w:autoSpaceDN w:val="0"/>
        <w:adjustRightInd w:val="0"/>
        <w:spacing w:after="160" w:line="360" w:lineRule="auto"/>
        <w:ind w:left="720"/>
        <w:jc w:val="both"/>
        <w:rPr>
          <w:rFonts w:ascii="Arial" w:hAnsi="Arial"/>
          <w:b/>
          <w:color w:val="000000"/>
          <w:sz w:val="20"/>
        </w:rPr>
      </w:pPr>
      <w:r w:rsidRPr="00CF11E9">
        <w:rPr>
          <w:rFonts w:ascii="Arial" w:hAnsi="Arial"/>
          <w:b/>
          <w:color w:val="000000"/>
          <w:sz w:val="20"/>
        </w:rPr>
        <w:t>Pending Implementation Issues</w:t>
      </w:r>
    </w:p>
    <w:p w:rsidR="00206991" w:rsidRDefault="000D5A47" w:rsidP="00F263EF">
      <w:pPr>
        <w:autoSpaceDE w:val="0"/>
        <w:autoSpaceDN w:val="0"/>
        <w:adjustRightInd w:val="0"/>
        <w:spacing w:after="160" w:line="360" w:lineRule="auto"/>
        <w:jc w:val="both"/>
        <w:rPr>
          <w:rFonts w:ascii="Arial" w:eastAsia="Times New Roman" w:hAnsi="Arial"/>
          <w:sz w:val="20"/>
        </w:rPr>
      </w:pPr>
      <w:r>
        <w:rPr>
          <w:rFonts w:ascii="Arial" w:eastAsia="Times New Roman" w:hAnsi="Arial"/>
          <w:sz w:val="20"/>
        </w:rPr>
        <w:t>I</w:t>
      </w:r>
      <w:r w:rsidR="005655CD" w:rsidRPr="005655CD">
        <w:rPr>
          <w:rFonts w:ascii="Arial" w:eastAsia="Times New Roman" w:hAnsi="Arial"/>
          <w:sz w:val="20"/>
        </w:rPr>
        <w:t xml:space="preserve">t </w:t>
      </w:r>
      <w:r w:rsidR="00FA0615">
        <w:rPr>
          <w:rFonts w:ascii="Arial" w:eastAsia="Times New Roman" w:hAnsi="Arial"/>
          <w:sz w:val="20"/>
        </w:rPr>
        <w:t>not</w:t>
      </w:r>
      <w:r w:rsidR="005655CD" w:rsidRPr="005655CD">
        <w:rPr>
          <w:rFonts w:ascii="Arial" w:eastAsia="Times New Roman" w:hAnsi="Arial"/>
          <w:sz w:val="20"/>
        </w:rPr>
        <w:t xml:space="preserve"> clear whether or not demand response impacts are</w:t>
      </w:r>
      <w:r w:rsidR="004A6132" w:rsidRPr="004A6132">
        <w:rPr>
          <w:rFonts w:ascii="Arial" w:eastAsia="Times New Roman" w:hAnsi="Arial"/>
          <w:sz w:val="20"/>
        </w:rPr>
        <w:t xml:space="preserve"> </w:t>
      </w:r>
      <w:r w:rsidR="004A6132">
        <w:rPr>
          <w:rFonts w:ascii="Arial" w:eastAsia="Times New Roman" w:hAnsi="Arial"/>
          <w:sz w:val="20"/>
        </w:rPr>
        <w:t>embedded in LSE</w:t>
      </w:r>
      <w:r w:rsidR="00AB063A">
        <w:rPr>
          <w:rFonts w:ascii="Arial" w:eastAsia="Times New Roman" w:hAnsi="Arial"/>
          <w:sz w:val="20"/>
        </w:rPr>
        <w:t>’</w:t>
      </w:r>
      <w:r w:rsidR="004A6132">
        <w:rPr>
          <w:rFonts w:ascii="Arial" w:eastAsia="Times New Roman" w:hAnsi="Arial"/>
          <w:sz w:val="20"/>
        </w:rPr>
        <w:t>s hourly loads that are used in calculating coincident adjustment</w:t>
      </w:r>
      <w:r w:rsidR="00525C93">
        <w:rPr>
          <w:rFonts w:ascii="Arial" w:eastAsia="Times New Roman" w:hAnsi="Arial"/>
          <w:sz w:val="20"/>
        </w:rPr>
        <w:t xml:space="preserve"> factors</w:t>
      </w:r>
      <w:r w:rsidR="004A6132">
        <w:rPr>
          <w:rFonts w:ascii="Arial" w:eastAsia="Times New Roman" w:hAnsi="Arial"/>
          <w:sz w:val="20"/>
        </w:rPr>
        <w:t xml:space="preserve">. </w:t>
      </w:r>
      <w:r>
        <w:rPr>
          <w:rFonts w:ascii="Arial" w:eastAsia="Times New Roman" w:hAnsi="Arial"/>
          <w:sz w:val="20"/>
        </w:rPr>
        <w:t>In the future</w:t>
      </w:r>
      <w:r w:rsidR="004A6132">
        <w:rPr>
          <w:rFonts w:ascii="Arial" w:eastAsia="Times New Roman" w:hAnsi="Arial"/>
          <w:sz w:val="20"/>
        </w:rPr>
        <w:t xml:space="preserve"> all </w:t>
      </w:r>
      <w:r w:rsidR="00FA0615">
        <w:rPr>
          <w:rFonts w:ascii="Arial" w:eastAsia="Times New Roman" w:hAnsi="Arial"/>
          <w:sz w:val="20"/>
        </w:rPr>
        <w:t>LSEs</w:t>
      </w:r>
      <w:r w:rsidR="004A6132">
        <w:rPr>
          <w:rFonts w:ascii="Arial" w:eastAsia="Times New Roman" w:hAnsi="Arial"/>
          <w:sz w:val="20"/>
        </w:rPr>
        <w:t xml:space="preserve"> </w:t>
      </w:r>
      <w:r>
        <w:rPr>
          <w:rFonts w:ascii="Arial" w:eastAsia="Times New Roman" w:hAnsi="Arial"/>
          <w:sz w:val="20"/>
        </w:rPr>
        <w:t xml:space="preserve">need to </w:t>
      </w:r>
      <w:r w:rsidR="004A6132">
        <w:rPr>
          <w:rFonts w:ascii="Arial" w:eastAsia="Times New Roman" w:hAnsi="Arial"/>
          <w:sz w:val="20"/>
        </w:rPr>
        <w:t xml:space="preserve">provide </w:t>
      </w:r>
      <w:r w:rsidR="00ED0DD9">
        <w:rPr>
          <w:rFonts w:ascii="Arial" w:eastAsia="Times New Roman" w:hAnsi="Arial"/>
          <w:sz w:val="20"/>
        </w:rPr>
        <w:t xml:space="preserve">additional information about the extent and type of demand responses </w:t>
      </w:r>
      <w:r w:rsidR="00717CC8">
        <w:rPr>
          <w:rFonts w:ascii="Arial" w:eastAsia="Times New Roman" w:hAnsi="Arial"/>
          <w:sz w:val="20"/>
        </w:rPr>
        <w:t xml:space="preserve">embedded in the hourly data. </w:t>
      </w:r>
      <w:r w:rsidR="000D27B7" w:rsidRPr="00717CC8">
        <w:rPr>
          <w:rFonts w:ascii="Arial" w:eastAsia="Times New Roman" w:hAnsi="Arial"/>
          <w:sz w:val="20"/>
        </w:rPr>
        <w:t xml:space="preserve">To better estimate LSEs contributions to CAISO system peak, CEC requires </w:t>
      </w:r>
      <w:r w:rsidR="00C62791">
        <w:rPr>
          <w:rFonts w:ascii="Arial" w:eastAsia="Times New Roman" w:hAnsi="Arial"/>
          <w:sz w:val="20"/>
        </w:rPr>
        <w:t xml:space="preserve">in addition to the LSEs hourly loads </w:t>
      </w:r>
      <w:r w:rsidR="00FB4DFA">
        <w:rPr>
          <w:rFonts w:ascii="Arial" w:eastAsia="Times New Roman" w:hAnsi="Arial"/>
          <w:sz w:val="20"/>
        </w:rPr>
        <w:t xml:space="preserve">the quantity of </w:t>
      </w:r>
      <w:r w:rsidR="00717CC8" w:rsidRPr="00717CC8">
        <w:rPr>
          <w:rFonts w:ascii="Arial" w:eastAsia="Times New Roman" w:hAnsi="Arial"/>
          <w:sz w:val="20"/>
        </w:rPr>
        <w:t xml:space="preserve">hourly </w:t>
      </w:r>
      <w:r w:rsidR="00717CC8">
        <w:rPr>
          <w:rFonts w:ascii="Arial" w:eastAsia="Times New Roman" w:hAnsi="Arial"/>
          <w:sz w:val="20"/>
        </w:rPr>
        <w:t>demand response by program</w:t>
      </w:r>
      <w:r w:rsidR="00C62791">
        <w:rPr>
          <w:rFonts w:ascii="Arial" w:eastAsia="Times New Roman" w:hAnsi="Arial"/>
          <w:sz w:val="20"/>
        </w:rPr>
        <w:t xml:space="preserve"> embedded in them.</w:t>
      </w:r>
    </w:p>
    <w:p w:rsidR="00423ED3" w:rsidRDefault="000D5A47" w:rsidP="001E518D">
      <w:pPr>
        <w:pStyle w:val="BodyText3"/>
        <w:spacing w:after="160"/>
        <w:ind w:firstLine="288"/>
        <w:rPr>
          <w:rStyle w:val="report6"/>
          <w:rFonts w:ascii="Calibri" w:eastAsia="Calibri" w:hAnsi="Calibri"/>
          <w:sz w:val="22"/>
          <w:szCs w:val="22"/>
        </w:rPr>
      </w:pPr>
      <w:r>
        <w:rPr>
          <w:rStyle w:val="report6"/>
        </w:rPr>
        <w:t xml:space="preserve">Additionally, it is not clear what demand programs are included and not included in LSEs year-ahead forecast. </w:t>
      </w:r>
      <w:r w:rsidR="00423ED3">
        <w:rPr>
          <w:rStyle w:val="report6"/>
        </w:rPr>
        <w:t xml:space="preserve">LSEs </w:t>
      </w:r>
      <w:r>
        <w:rPr>
          <w:rStyle w:val="report6"/>
        </w:rPr>
        <w:t xml:space="preserve">need </w:t>
      </w:r>
      <w:r w:rsidR="00423ED3">
        <w:rPr>
          <w:rStyle w:val="report6"/>
        </w:rPr>
        <w:t>to spec</w:t>
      </w:r>
      <w:r w:rsidR="001F775D">
        <w:rPr>
          <w:rStyle w:val="report6"/>
        </w:rPr>
        <w:t xml:space="preserve">ifically indicate on their </w:t>
      </w:r>
      <w:r w:rsidR="00A01877">
        <w:rPr>
          <w:rStyle w:val="report6"/>
        </w:rPr>
        <w:t>year-</w:t>
      </w:r>
      <w:r>
        <w:rPr>
          <w:rStyle w:val="report6"/>
        </w:rPr>
        <w:t>ahead</w:t>
      </w:r>
      <w:r w:rsidR="00423ED3">
        <w:rPr>
          <w:rStyle w:val="report6"/>
        </w:rPr>
        <w:t xml:space="preserve"> load forecasts whether a demand program </w:t>
      </w:r>
      <w:r w:rsidR="00F854CE">
        <w:rPr>
          <w:rStyle w:val="report6"/>
        </w:rPr>
        <w:t>(demand response, energy effic</w:t>
      </w:r>
      <w:r w:rsidR="006B39E8">
        <w:rPr>
          <w:rStyle w:val="report6"/>
        </w:rPr>
        <w:t xml:space="preserve">iency, </w:t>
      </w:r>
      <w:r>
        <w:rPr>
          <w:rStyle w:val="report6"/>
        </w:rPr>
        <w:t>and distributed</w:t>
      </w:r>
      <w:r w:rsidR="006B39E8">
        <w:rPr>
          <w:rStyle w:val="report6"/>
        </w:rPr>
        <w:t xml:space="preserve"> generation</w:t>
      </w:r>
      <w:r w:rsidR="00F854CE">
        <w:rPr>
          <w:rStyle w:val="report6"/>
        </w:rPr>
        <w:t>)</w:t>
      </w:r>
      <w:r w:rsidR="00B219D7">
        <w:rPr>
          <w:rStyle w:val="report6"/>
        </w:rPr>
        <w:t xml:space="preserve"> </w:t>
      </w:r>
      <w:r w:rsidR="00423ED3">
        <w:rPr>
          <w:rStyle w:val="report6"/>
        </w:rPr>
        <w:t xml:space="preserve">is being included and how </w:t>
      </w:r>
      <w:r>
        <w:rPr>
          <w:rStyle w:val="report6"/>
        </w:rPr>
        <w:t xml:space="preserve">it </w:t>
      </w:r>
      <w:r w:rsidR="00423ED3">
        <w:rPr>
          <w:rStyle w:val="report6"/>
        </w:rPr>
        <w:t xml:space="preserve">is being accounted for in their forecasts. CEC </w:t>
      </w:r>
      <w:r>
        <w:rPr>
          <w:rStyle w:val="report6"/>
        </w:rPr>
        <w:t>will</w:t>
      </w:r>
      <w:r w:rsidR="00423ED3">
        <w:rPr>
          <w:rStyle w:val="report6"/>
        </w:rPr>
        <w:t xml:space="preserve"> then be able to credit the impacts to the LSEs preventing double counting and better deriving capacity obligations for each LSE.</w:t>
      </w:r>
    </w:p>
    <w:p w:rsidR="00EC394E" w:rsidRPr="008D1C61" w:rsidRDefault="00EC394E" w:rsidP="00F6547E">
      <w:pPr>
        <w:pStyle w:val="BodyText3"/>
        <w:spacing w:after="160"/>
      </w:pPr>
    </w:p>
    <w:sectPr w:rsidR="00EC394E" w:rsidRPr="008D1C61" w:rsidSect="00C567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39" w:rsidRDefault="00FE6639">
      <w:pPr>
        <w:spacing w:after="0" w:line="240" w:lineRule="auto"/>
      </w:pPr>
      <w:r>
        <w:separator/>
      </w:r>
    </w:p>
  </w:endnote>
  <w:endnote w:type="continuationSeparator" w:id="0">
    <w:p w:rsidR="00FE6639" w:rsidRDefault="00FE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A5" w:rsidRDefault="00EA47A5">
    <w:pPr>
      <w:pStyle w:val="Footer"/>
    </w:pPr>
    <w:r>
      <w:tab/>
    </w:r>
    <w:r>
      <w:tab/>
      <w:t xml:space="preserve">         </w:t>
    </w:r>
    <w:r w:rsidR="00A87F96">
      <w:fldChar w:fldCharType="begin"/>
    </w:r>
    <w:r w:rsidR="00A87F96">
      <w:instrText xml:space="preserve"> PAGE   \* MERGEFORMAT </w:instrText>
    </w:r>
    <w:r w:rsidR="00A87F96">
      <w:fldChar w:fldCharType="separate"/>
    </w:r>
    <w:r w:rsidR="00A87F96" w:rsidRPr="00A87F96">
      <w:rPr>
        <w:rFonts w:ascii="Arial" w:hAnsi="Arial" w:cs="Arial"/>
        <w:noProof/>
        <w:sz w:val="18"/>
        <w:szCs w:val="18"/>
      </w:rPr>
      <w:t>5</w:t>
    </w:r>
    <w:r w:rsidR="00A87F96">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39" w:rsidRDefault="00FE6639">
      <w:pPr>
        <w:spacing w:after="0" w:line="240" w:lineRule="auto"/>
      </w:pPr>
      <w:r>
        <w:separator/>
      </w:r>
    </w:p>
  </w:footnote>
  <w:footnote w:type="continuationSeparator" w:id="0">
    <w:p w:rsidR="00FE6639" w:rsidRDefault="00FE6639">
      <w:pPr>
        <w:spacing w:after="0" w:line="240" w:lineRule="auto"/>
      </w:pPr>
      <w:r>
        <w:continuationSeparator/>
      </w:r>
    </w:p>
  </w:footnote>
  <w:footnote w:id="1">
    <w:p w:rsidR="00EA47A5" w:rsidRPr="00F83848" w:rsidRDefault="00EA47A5" w:rsidP="00007B02">
      <w:pPr>
        <w:pStyle w:val="FootnoteText"/>
        <w:rPr>
          <w:rFonts w:ascii="Arial" w:hAnsi="Arial" w:cs="Arial"/>
          <w:sz w:val="18"/>
          <w:szCs w:val="18"/>
        </w:rPr>
      </w:pPr>
      <w:r w:rsidRPr="00F83848">
        <w:rPr>
          <w:rStyle w:val="FootnoteReference"/>
          <w:rFonts w:ascii="Arial" w:hAnsi="Arial" w:cs="Arial"/>
          <w:sz w:val="18"/>
          <w:szCs w:val="18"/>
        </w:rPr>
        <w:footnoteRef/>
      </w:r>
      <w:r w:rsidRPr="00F83848">
        <w:rPr>
          <w:rFonts w:ascii="Arial" w:hAnsi="Arial" w:cs="Arial"/>
          <w:sz w:val="18"/>
          <w:szCs w:val="18"/>
        </w:rPr>
        <w:t xml:space="preserve"> Adopted in D.12-06-025</w:t>
      </w:r>
      <w:r>
        <w:rPr>
          <w:rFonts w:ascii="Arial" w:hAnsi="Arial" w:cs="Arial"/>
          <w:sz w:val="18"/>
          <w:szCs w:val="18"/>
        </w:rPr>
        <w:t>.</w:t>
      </w:r>
    </w:p>
  </w:footnote>
  <w:footnote w:id="2">
    <w:p w:rsidR="00EA47A5" w:rsidRPr="004344F6" w:rsidRDefault="00EA47A5">
      <w:pPr>
        <w:pStyle w:val="FootnoteText"/>
        <w:rPr>
          <w:rFonts w:ascii="Arial" w:hAnsi="Arial" w:cs="Arial"/>
        </w:rPr>
      </w:pPr>
      <w:r w:rsidRPr="00A360E4">
        <w:rPr>
          <w:rStyle w:val="FootnoteReference"/>
          <w:rFonts w:ascii="Arial" w:hAnsi="Arial" w:cs="Arial"/>
          <w:sz w:val="18"/>
          <w:szCs w:val="18"/>
        </w:rPr>
        <w:footnoteRef/>
      </w:r>
      <w:r w:rsidRPr="00A360E4">
        <w:rPr>
          <w:rFonts w:ascii="Arial" w:hAnsi="Arial" w:cs="Arial"/>
          <w:sz w:val="18"/>
          <w:szCs w:val="18"/>
        </w:rPr>
        <w:t xml:space="preserve"> Weather normalization methodology is detailed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A5" w:rsidRDefault="00EA47A5">
    <w:pPr>
      <w:pStyle w:val="Header"/>
    </w:pPr>
    <w:r>
      <w:t>CEC / PUC</w:t>
    </w:r>
    <w:r>
      <w:tab/>
    </w:r>
    <w:r>
      <w:tab/>
      <w:t>RA Forecast Allocation Methodology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271F"/>
    <w:multiLevelType w:val="hybridMultilevel"/>
    <w:tmpl w:val="34C25306"/>
    <w:lvl w:ilvl="0" w:tplc="5E8C8706">
      <w:start w:val="1"/>
      <w:numFmt w:val="bullet"/>
      <w:lvlText w:val="•"/>
      <w:lvlJc w:val="left"/>
      <w:pPr>
        <w:tabs>
          <w:tab w:val="num" w:pos="720"/>
        </w:tabs>
        <w:ind w:left="720" w:hanging="360"/>
      </w:pPr>
      <w:rPr>
        <w:rFonts w:ascii="Times New Roman" w:hAnsi="Times New Roman" w:hint="default"/>
      </w:rPr>
    </w:lvl>
    <w:lvl w:ilvl="1" w:tplc="5BAC60D2">
      <w:start w:val="865"/>
      <w:numFmt w:val="bullet"/>
      <w:lvlText w:val="o"/>
      <w:lvlJc w:val="left"/>
      <w:pPr>
        <w:tabs>
          <w:tab w:val="num" w:pos="1440"/>
        </w:tabs>
        <w:ind w:left="1440" w:hanging="360"/>
      </w:pPr>
      <w:rPr>
        <w:rFonts w:ascii="Times New Roman" w:hAnsi="Times New Roman" w:hint="default"/>
      </w:rPr>
    </w:lvl>
    <w:lvl w:ilvl="2" w:tplc="CB7027B4" w:tentative="1">
      <w:start w:val="1"/>
      <w:numFmt w:val="bullet"/>
      <w:lvlText w:val="•"/>
      <w:lvlJc w:val="left"/>
      <w:pPr>
        <w:tabs>
          <w:tab w:val="num" w:pos="2160"/>
        </w:tabs>
        <w:ind w:left="2160" w:hanging="360"/>
      </w:pPr>
      <w:rPr>
        <w:rFonts w:ascii="Times New Roman" w:hAnsi="Times New Roman" w:hint="default"/>
      </w:rPr>
    </w:lvl>
    <w:lvl w:ilvl="3" w:tplc="8E7EDDC8" w:tentative="1">
      <w:start w:val="1"/>
      <w:numFmt w:val="bullet"/>
      <w:lvlText w:val="•"/>
      <w:lvlJc w:val="left"/>
      <w:pPr>
        <w:tabs>
          <w:tab w:val="num" w:pos="2880"/>
        </w:tabs>
        <w:ind w:left="2880" w:hanging="360"/>
      </w:pPr>
      <w:rPr>
        <w:rFonts w:ascii="Times New Roman" w:hAnsi="Times New Roman" w:hint="default"/>
      </w:rPr>
    </w:lvl>
    <w:lvl w:ilvl="4" w:tplc="E5DCD870" w:tentative="1">
      <w:start w:val="1"/>
      <w:numFmt w:val="bullet"/>
      <w:lvlText w:val="•"/>
      <w:lvlJc w:val="left"/>
      <w:pPr>
        <w:tabs>
          <w:tab w:val="num" w:pos="3600"/>
        </w:tabs>
        <w:ind w:left="3600" w:hanging="360"/>
      </w:pPr>
      <w:rPr>
        <w:rFonts w:ascii="Times New Roman" w:hAnsi="Times New Roman" w:hint="default"/>
      </w:rPr>
    </w:lvl>
    <w:lvl w:ilvl="5" w:tplc="DADCE00A" w:tentative="1">
      <w:start w:val="1"/>
      <w:numFmt w:val="bullet"/>
      <w:lvlText w:val="•"/>
      <w:lvlJc w:val="left"/>
      <w:pPr>
        <w:tabs>
          <w:tab w:val="num" w:pos="4320"/>
        </w:tabs>
        <w:ind w:left="4320" w:hanging="360"/>
      </w:pPr>
      <w:rPr>
        <w:rFonts w:ascii="Times New Roman" w:hAnsi="Times New Roman" w:hint="default"/>
      </w:rPr>
    </w:lvl>
    <w:lvl w:ilvl="6" w:tplc="5F548CDC" w:tentative="1">
      <w:start w:val="1"/>
      <w:numFmt w:val="bullet"/>
      <w:lvlText w:val="•"/>
      <w:lvlJc w:val="left"/>
      <w:pPr>
        <w:tabs>
          <w:tab w:val="num" w:pos="5040"/>
        </w:tabs>
        <w:ind w:left="5040" w:hanging="360"/>
      </w:pPr>
      <w:rPr>
        <w:rFonts w:ascii="Times New Roman" w:hAnsi="Times New Roman" w:hint="default"/>
      </w:rPr>
    </w:lvl>
    <w:lvl w:ilvl="7" w:tplc="4BF6A330" w:tentative="1">
      <w:start w:val="1"/>
      <w:numFmt w:val="bullet"/>
      <w:lvlText w:val="•"/>
      <w:lvlJc w:val="left"/>
      <w:pPr>
        <w:tabs>
          <w:tab w:val="num" w:pos="5760"/>
        </w:tabs>
        <w:ind w:left="5760" w:hanging="360"/>
      </w:pPr>
      <w:rPr>
        <w:rFonts w:ascii="Times New Roman" w:hAnsi="Times New Roman" w:hint="default"/>
      </w:rPr>
    </w:lvl>
    <w:lvl w:ilvl="8" w:tplc="ECE6E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557C4C"/>
    <w:multiLevelType w:val="hybridMultilevel"/>
    <w:tmpl w:val="7D1621CA"/>
    <w:lvl w:ilvl="0" w:tplc="3CF87506">
      <w:start w:val="1"/>
      <w:numFmt w:val="bullet"/>
      <w:lvlText w:val="o"/>
      <w:lvlJc w:val="left"/>
      <w:pPr>
        <w:ind w:left="1440" w:hanging="360"/>
      </w:pPr>
      <w:rPr>
        <w:rFonts w:ascii="Courier New" w:hAnsi="Courier New" w:cs="Courier New" w:hint="default"/>
      </w:rPr>
    </w:lvl>
    <w:lvl w:ilvl="1" w:tplc="041C24DE" w:tentative="1">
      <w:start w:val="1"/>
      <w:numFmt w:val="bullet"/>
      <w:lvlText w:val="o"/>
      <w:lvlJc w:val="left"/>
      <w:pPr>
        <w:ind w:left="2160" w:hanging="360"/>
      </w:pPr>
      <w:rPr>
        <w:rFonts w:ascii="Courier New" w:hAnsi="Courier New" w:cs="Courier New" w:hint="default"/>
      </w:rPr>
    </w:lvl>
    <w:lvl w:ilvl="2" w:tplc="D60C1B68" w:tentative="1">
      <w:start w:val="1"/>
      <w:numFmt w:val="bullet"/>
      <w:lvlText w:val=""/>
      <w:lvlJc w:val="left"/>
      <w:pPr>
        <w:ind w:left="2880" w:hanging="360"/>
      </w:pPr>
      <w:rPr>
        <w:rFonts w:ascii="Wingdings" w:hAnsi="Wingdings" w:hint="default"/>
      </w:rPr>
    </w:lvl>
    <w:lvl w:ilvl="3" w:tplc="BF36FC3C" w:tentative="1">
      <w:start w:val="1"/>
      <w:numFmt w:val="bullet"/>
      <w:lvlText w:val=""/>
      <w:lvlJc w:val="left"/>
      <w:pPr>
        <w:ind w:left="3600" w:hanging="360"/>
      </w:pPr>
      <w:rPr>
        <w:rFonts w:ascii="Symbol" w:hAnsi="Symbol" w:hint="default"/>
      </w:rPr>
    </w:lvl>
    <w:lvl w:ilvl="4" w:tplc="0F5CBDAA" w:tentative="1">
      <w:start w:val="1"/>
      <w:numFmt w:val="bullet"/>
      <w:lvlText w:val="o"/>
      <w:lvlJc w:val="left"/>
      <w:pPr>
        <w:ind w:left="4320" w:hanging="360"/>
      </w:pPr>
      <w:rPr>
        <w:rFonts w:ascii="Courier New" w:hAnsi="Courier New" w:cs="Courier New" w:hint="default"/>
      </w:rPr>
    </w:lvl>
    <w:lvl w:ilvl="5" w:tplc="D1A2DEC8" w:tentative="1">
      <w:start w:val="1"/>
      <w:numFmt w:val="bullet"/>
      <w:lvlText w:val=""/>
      <w:lvlJc w:val="left"/>
      <w:pPr>
        <w:ind w:left="5040" w:hanging="360"/>
      </w:pPr>
      <w:rPr>
        <w:rFonts w:ascii="Wingdings" w:hAnsi="Wingdings" w:hint="default"/>
      </w:rPr>
    </w:lvl>
    <w:lvl w:ilvl="6" w:tplc="57060F62" w:tentative="1">
      <w:start w:val="1"/>
      <w:numFmt w:val="bullet"/>
      <w:lvlText w:val=""/>
      <w:lvlJc w:val="left"/>
      <w:pPr>
        <w:ind w:left="5760" w:hanging="360"/>
      </w:pPr>
      <w:rPr>
        <w:rFonts w:ascii="Symbol" w:hAnsi="Symbol" w:hint="default"/>
      </w:rPr>
    </w:lvl>
    <w:lvl w:ilvl="7" w:tplc="A63A9A68" w:tentative="1">
      <w:start w:val="1"/>
      <w:numFmt w:val="bullet"/>
      <w:lvlText w:val="o"/>
      <w:lvlJc w:val="left"/>
      <w:pPr>
        <w:ind w:left="6480" w:hanging="360"/>
      </w:pPr>
      <w:rPr>
        <w:rFonts w:ascii="Courier New" w:hAnsi="Courier New" w:cs="Courier New" w:hint="default"/>
      </w:rPr>
    </w:lvl>
    <w:lvl w:ilvl="8" w:tplc="29F890B0" w:tentative="1">
      <w:start w:val="1"/>
      <w:numFmt w:val="bullet"/>
      <w:lvlText w:val=""/>
      <w:lvlJc w:val="left"/>
      <w:pPr>
        <w:ind w:left="7200" w:hanging="360"/>
      </w:pPr>
      <w:rPr>
        <w:rFonts w:ascii="Wingdings" w:hAnsi="Wingdings" w:hint="default"/>
      </w:rPr>
    </w:lvl>
  </w:abstractNum>
  <w:abstractNum w:abstractNumId="2">
    <w:nsid w:val="236051FE"/>
    <w:multiLevelType w:val="hybridMultilevel"/>
    <w:tmpl w:val="03F42B58"/>
    <w:lvl w:ilvl="0" w:tplc="79DC4BF0">
      <w:start w:val="1"/>
      <w:numFmt w:val="bullet"/>
      <w:lvlText w:val=""/>
      <w:lvlJc w:val="left"/>
      <w:pPr>
        <w:ind w:left="360" w:hanging="360"/>
      </w:pPr>
      <w:rPr>
        <w:rFonts w:ascii="Symbol" w:hAnsi="Symbol" w:hint="default"/>
      </w:rPr>
    </w:lvl>
    <w:lvl w:ilvl="1" w:tplc="8454E9A0">
      <w:start w:val="1"/>
      <w:numFmt w:val="bullet"/>
      <w:lvlText w:val="o"/>
      <w:lvlJc w:val="left"/>
      <w:pPr>
        <w:ind w:left="1080" w:hanging="360"/>
      </w:pPr>
      <w:rPr>
        <w:rFonts w:ascii="Courier New" w:hAnsi="Courier New" w:cs="Courier New" w:hint="default"/>
      </w:rPr>
    </w:lvl>
    <w:lvl w:ilvl="2" w:tplc="1C66D274" w:tentative="1">
      <w:start w:val="1"/>
      <w:numFmt w:val="bullet"/>
      <w:lvlText w:val=""/>
      <w:lvlJc w:val="left"/>
      <w:pPr>
        <w:ind w:left="1800" w:hanging="360"/>
      </w:pPr>
      <w:rPr>
        <w:rFonts w:ascii="Wingdings" w:hAnsi="Wingdings" w:hint="default"/>
      </w:rPr>
    </w:lvl>
    <w:lvl w:ilvl="3" w:tplc="6B4A6752" w:tentative="1">
      <w:start w:val="1"/>
      <w:numFmt w:val="bullet"/>
      <w:lvlText w:val=""/>
      <w:lvlJc w:val="left"/>
      <w:pPr>
        <w:ind w:left="2520" w:hanging="360"/>
      </w:pPr>
      <w:rPr>
        <w:rFonts w:ascii="Symbol" w:hAnsi="Symbol" w:hint="default"/>
      </w:rPr>
    </w:lvl>
    <w:lvl w:ilvl="4" w:tplc="10BA11F4" w:tentative="1">
      <w:start w:val="1"/>
      <w:numFmt w:val="bullet"/>
      <w:lvlText w:val="o"/>
      <w:lvlJc w:val="left"/>
      <w:pPr>
        <w:ind w:left="3240" w:hanging="360"/>
      </w:pPr>
      <w:rPr>
        <w:rFonts w:ascii="Courier New" w:hAnsi="Courier New" w:cs="Courier New" w:hint="default"/>
      </w:rPr>
    </w:lvl>
    <w:lvl w:ilvl="5" w:tplc="402E7D7A" w:tentative="1">
      <w:start w:val="1"/>
      <w:numFmt w:val="bullet"/>
      <w:lvlText w:val=""/>
      <w:lvlJc w:val="left"/>
      <w:pPr>
        <w:ind w:left="3960" w:hanging="360"/>
      </w:pPr>
      <w:rPr>
        <w:rFonts w:ascii="Wingdings" w:hAnsi="Wingdings" w:hint="default"/>
      </w:rPr>
    </w:lvl>
    <w:lvl w:ilvl="6" w:tplc="26525DBE" w:tentative="1">
      <w:start w:val="1"/>
      <w:numFmt w:val="bullet"/>
      <w:lvlText w:val=""/>
      <w:lvlJc w:val="left"/>
      <w:pPr>
        <w:ind w:left="4680" w:hanging="360"/>
      </w:pPr>
      <w:rPr>
        <w:rFonts w:ascii="Symbol" w:hAnsi="Symbol" w:hint="default"/>
      </w:rPr>
    </w:lvl>
    <w:lvl w:ilvl="7" w:tplc="CFCC75A6" w:tentative="1">
      <w:start w:val="1"/>
      <w:numFmt w:val="bullet"/>
      <w:lvlText w:val="o"/>
      <w:lvlJc w:val="left"/>
      <w:pPr>
        <w:ind w:left="5400" w:hanging="360"/>
      </w:pPr>
      <w:rPr>
        <w:rFonts w:ascii="Courier New" w:hAnsi="Courier New" w:cs="Courier New" w:hint="default"/>
      </w:rPr>
    </w:lvl>
    <w:lvl w:ilvl="8" w:tplc="000E5F4E" w:tentative="1">
      <w:start w:val="1"/>
      <w:numFmt w:val="bullet"/>
      <w:lvlText w:val=""/>
      <w:lvlJc w:val="left"/>
      <w:pPr>
        <w:ind w:left="6120" w:hanging="360"/>
      </w:pPr>
      <w:rPr>
        <w:rFonts w:ascii="Wingdings" w:hAnsi="Wingdings" w:hint="default"/>
      </w:rPr>
    </w:lvl>
  </w:abstractNum>
  <w:abstractNum w:abstractNumId="3">
    <w:nsid w:val="23F64B5D"/>
    <w:multiLevelType w:val="hybridMultilevel"/>
    <w:tmpl w:val="D68EABE6"/>
    <w:lvl w:ilvl="0" w:tplc="C17069EA">
      <w:start w:val="1"/>
      <w:numFmt w:val="bullet"/>
      <w:lvlText w:val=""/>
      <w:lvlJc w:val="left"/>
      <w:pPr>
        <w:ind w:left="1080" w:hanging="360"/>
      </w:pPr>
      <w:rPr>
        <w:rFonts w:ascii="Symbol" w:hAnsi="Symbol" w:hint="default"/>
      </w:rPr>
    </w:lvl>
    <w:lvl w:ilvl="1" w:tplc="C3926FF4" w:tentative="1">
      <w:start w:val="1"/>
      <w:numFmt w:val="lowerLetter"/>
      <w:lvlText w:val="%2."/>
      <w:lvlJc w:val="left"/>
      <w:pPr>
        <w:ind w:left="1800" w:hanging="360"/>
      </w:pPr>
    </w:lvl>
    <w:lvl w:ilvl="2" w:tplc="571E90BE" w:tentative="1">
      <w:start w:val="1"/>
      <w:numFmt w:val="lowerRoman"/>
      <w:lvlText w:val="%3."/>
      <w:lvlJc w:val="right"/>
      <w:pPr>
        <w:ind w:left="2520" w:hanging="180"/>
      </w:pPr>
    </w:lvl>
    <w:lvl w:ilvl="3" w:tplc="54721248" w:tentative="1">
      <w:start w:val="1"/>
      <w:numFmt w:val="decimal"/>
      <w:lvlText w:val="%4."/>
      <w:lvlJc w:val="left"/>
      <w:pPr>
        <w:ind w:left="3240" w:hanging="360"/>
      </w:pPr>
    </w:lvl>
    <w:lvl w:ilvl="4" w:tplc="BB6E0C84" w:tentative="1">
      <w:start w:val="1"/>
      <w:numFmt w:val="lowerLetter"/>
      <w:lvlText w:val="%5."/>
      <w:lvlJc w:val="left"/>
      <w:pPr>
        <w:ind w:left="3960" w:hanging="360"/>
      </w:pPr>
    </w:lvl>
    <w:lvl w:ilvl="5" w:tplc="8C62193E" w:tentative="1">
      <w:start w:val="1"/>
      <w:numFmt w:val="lowerRoman"/>
      <w:lvlText w:val="%6."/>
      <w:lvlJc w:val="right"/>
      <w:pPr>
        <w:ind w:left="4680" w:hanging="180"/>
      </w:pPr>
    </w:lvl>
    <w:lvl w:ilvl="6" w:tplc="B4D4A2E2" w:tentative="1">
      <w:start w:val="1"/>
      <w:numFmt w:val="decimal"/>
      <w:lvlText w:val="%7."/>
      <w:lvlJc w:val="left"/>
      <w:pPr>
        <w:ind w:left="5400" w:hanging="360"/>
      </w:pPr>
    </w:lvl>
    <w:lvl w:ilvl="7" w:tplc="2E8037FC" w:tentative="1">
      <w:start w:val="1"/>
      <w:numFmt w:val="lowerLetter"/>
      <w:lvlText w:val="%8."/>
      <w:lvlJc w:val="left"/>
      <w:pPr>
        <w:ind w:left="6120" w:hanging="360"/>
      </w:pPr>
    </w:lvl>
    <w:lvl w:ilvl="8" w:tplc="4BC05C3A" w:tentative="1">
      <w:start w:val="1"/>
      <w:numFmt w:val="lowerRoman"/>
      <w:lvlText w:val="%9."/>
      <w:lvlJc w:val="right"/>
      <w:pPr>
        <w:ind w:left="6840" w:hanging="180"/>
      </w:pPr>
    </w:lvl>
  </w:abstractNum>
  <w:abstractNum w:abstractNumId="4">
    <w:nsid w:val="34D16835"/>
    <w:multiLevelType w:val="hybridMultilevel"/>
    <w:tmpl w:val="E72C29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3B3E05A6"/>
    <w:multiLevelType w:val="hybridMultilevel"/>
    <w:tmpl w:val="B08A35DC"/>
    <w:lvl w:ilvl="0" w:tplc="C5C81F8C">
      <w:start w:val="1"/>
      <w:numFmt w:val="bullet"/>
      <w:lvlText w:val="•"/>
      <w:lvlJc w:val="left"/>
      <w:pPr>
        <w:tabs>
          <w:tab w:val="num" w:pos="720"/>
        </w:tabs>
        <w:ind w:left="720" w:hanging="360"/>
      </w:pPr>
      <w:rPr>
        <w:rFonts w:ascii="Times New Roman" w:hAnsi="Times New Roman" w:hint="default"/>
      </w:rPr>
    </w:lvl>
    <w:lvl w:ilvl="1" w:tplc="C2FA62E4" w:tentative="1">
      <w:start w:val="1"/>
      <w:numFmt w:val="bullet"/>
      <w:lvlText w:val="•"/>
      <w:lvlJc w:val="left"/>
      <w:pPr>
        <w:tabs>
          <w:tab w:val="num" w:pos="1440"/>
        </w:tabs>
        <w:ind w:left="1440" w:hanging="360"/>
      </w:pPr>
      <w:rPr>
        <w:rFonts w:ascii="Times New Roman" w:hAnsi="Times New Roman" w:hint="default"/>
      </w:rPr>
    </w:lvl>
    <w:lvl w:ilvl="2" w:tplc="4B42B46C" w:tentative="1">
      <w:start w:val="1"/>
      <w:numFmt w:val="bullet"/>
      <w:lvlText w:val="•"/>
      <w:lvlJc w:val="left"/>
      <w:pPr>
        <w:tabs>
          <w:tab w:val="num" w:pos="2160"/>
        </w:tabs>
        <w:ind w:left="2160" w:hanging="360"/>
      </w:pPr>
      <w:rPr>
        <w:rFonts w:ascii="Times New Roman" w:hAnsi="Times New Roman" w:hint="default"/>
      </w:rPr>
    </w:lvl>
    <w:lvl w:ilvl="3" w:tplc="1F94B704" w:tentative="1">
      <w:start w:val="1"/>
      <w:numFmt w:val="bullet"/>
      <w:lvlText w:val="•"/>
      <w:lvlJc w:val="left"/>
      <w:pPr>
        <w:tabs>
          <w:tab w:val="num" w:pos="2880"/>
        </w:tabs>
        <w:ind w:left="2880" w:hanging="360"/>
      </w:pPr>
      <w:rPr>
        <w:rFonts w:ascii="Times New Roman" w:hAnsi="Times New Roman" w:hint="default"/>
      </w:rPr>
    </w:lvl>
    <w:lvl w:ilvl="4" w:tplc="964A102A" w:tentative="1">
      <w:start w:val="1"/>
      <w:numFmt w:val="bullet"/>
      <w:lvlText w:val="•"/>
      <w:lvlJc w:val="left"/>
      <w:pPr>
        <w:tabs>
          <w:tab w:val="num" w:pos="3600"/>
        </w:tabs>
        <w:ind w:left="3600" w:hanging="360"/>
      </w:pPr>
      <w:rPr>
        <w:rFonts w:ascii="Times New Roman" w:hAnsi="Times New Roman" w:hint="default"/>
      </w:rPr>
    </w:lvl>
    <w:lvl w:ilvl="5" w:tplc="9EAE26FC" w:tentative="1">
      <w:start w:val="1"/>
      <w:numFmt w:val="bullet"/>
      <w:lvlText w:val="•"/>
      <w:lvlJc w:val="left"/>
      <w:pPr>
        <w:tabs>
          <w:tab w:val="num" w:pos="4320"/>
        </w:tabs>
        <w:ind w:left="4320" w:hanging="360"/>
      </w:pPr>
      <w:rPr>
        <w:rFonts w:ascii="Times New Roman" w:hAnsi="Times New Roman" w:hint="default"/>
      </w:rPr>
    </w:lvl>
    <w:lvl w:ilvl="6" w:tplc="DA72F204" w:tentative="1">
      <w:start w:val="1"/>
      <w:numFmt w:val="bullet"/>
      <w:lvlText w:val="•"/>
      <w:lvlJc w:val="left"/>
      <w:pPr>
        <w:tabs>
          <w:tab w:val="num" w:pos="5040"/>
        </w:tabs>
        <w:ind w:left="5040" w:hanging="360"/>
      </w:pPr>
      <w:rPr>
        <w:rFonts w:ascii="Times New Roman" w:hAnsi="Times New Roman" w:hint="default"/>
      </w:rPr>
    </w:lvl>
    <w:lvl w:ilvl="7" w:tplc="2C6CA370" w:tentative="1">
      <w:start w:val="1"/>
      <w:numFmt w:val="bullet"/>
      <w:lvlText w:val="•"/>
      <w:lvlJc w:val="left"/>
      <w:pPr>
        <w:tabs>
          <w:tab w:val="num" w:pos="5760"/>
        </w:tabs>
        <w:ind w:left="5760" w:hanging="360"/>
      </w:pPr>
      <w:rPr>
        <w:rFonts w:ascii="Times New Roman" w:hAnsi="Times New Roman" w:hint="default"/>
      </w:rPr>
    </w:lvl>
    <w:lvl w:ilvl="8" w:tplc="74765A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F35C92"/>
    <w:multiLevelType w:val="hybridMultilevel"/>
    <w:tmpl w:val="98987AC0"/>
    <w:lvl w:ilvl="0" w:tplc="B0CAE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93828C7"/>
    <w:multiLevelType w:val="hybridMultilevel"/>
    <w:tmpl w:val="256E5C4A"/>
    <w:lvl w:ilvl="0" w:tplc="0AD04EF2">
      <w:start w:val="1"/>
      <w:numFmt w:val="bullet"/>
      <w:lvlText w:val="•"/>
      <w:lvlJc w:val="left"/>
      <w:pPr>
        <w:tabs>
          <w:tab w:val="num" w:pos="720"/>
        </w:tabs>
        <w:ind w:left="720" w:hanging="360"/>
      </w:pPr>
      <w:rPr>
        <w:rFonts w:ascii="Times New Roman" w:hAnsi="Times New Roman" w:hint="default"/>
      </w:rPr>
    </w:lvl>
    <w:lvl w:ilvl="1" w:tplc="23F85CE2" w:tentative="1">
      <w:start w:val="1"/>
      <w:numFmt w:val="bullet"/>
      <w:lvlText w:val="•"/>
      <w:lvlJc w:val="left"/>
      <w:pPr>
        <w:tabs>
          <w:tab w:val="num" w:pos="1440"/>
        </w:tabs>
        <w:ind w:left="1440" w:hanging="360"/>
      </w:pPr>
      <w:rPr>
        <w:rFonts w:ascii="Times New Roman" w:hAnsi="Times New Roman" w:hint="default"/>
      </w:rPr>
    </w:lvl>
    <w:lvl w:ilvl="2" w:tplc="A684BEF2" w:tentative="1">
      <w:start w:val="1"/>
      <w:numFmt w:val="bullet"/>
      <w:lvlText w:val="•"/>
      <w:lvlJc w:val="left"/>
      <w:pPr>
        <w:tabs>
          <w:tab w:val="num" w:pos="2160"/>
        </w:tabs>
        <w:ind w:left="2160" w:hanging="360"/>
      </w:pPr>
      <w:rPr>
        <w:rFonts w:ascii="Times New Roman" w:hAnsi="Times New Roman" w:hint="default"/>
      </w:rPr>
    </w:lvl>
    <w:lvl w:ilvl="3" w:tplc="F2DEF7CE" w:tentative="1">
      <w:start w:val="1"/>
      <w:numFmt w:val="bullet"/>
      <w:lvlText w:val="•"/>
      <w:lvlJc w:val="left"/>
      <w:pPr>
        <w:tabs>
          <w:tab w:val="num" w:pos="2880"/>
        </w:tabs>
        <w:ind w:left="2880" w:hanging="360"/>
      </w:pPr>
      <w:rPr>
        <w:rFonts w:ascii="Times New Roman" w:hAnsi="Times New Roman" w:hint="default"/>
      </w:rPr>
    </w:lvl>
    <w:lvl w:ilvl="4" w:tplc="6558614C" w:tentative="1">
      <w:start w:val="1"/>
      <w:numFmt w:val="bullet"/>
      <w:lvlText w:val="•"/>
      <w:lvlJc w:val="left"/>
      <w:pPr>
        <w:tabs>
          <w:tab w:val="num" w:pos="3600"/>
        </w:tabs>
        <w:ind w:left="3600" w:hanging="360"/>
      </w:pPr>
      <w:rPr>
        <w:rFonts w:ascii="Times New Roman" w:hAnsi="Times New Roman" w:hint="default"/>
      </w:rPr>
    </w:lvl>
    <w:lvl w:ilvl="5" w:tplc="241CB138" w:tentative="1">
      <w:start w:val="1"/>
      <w:numFmt w:val="bullet"/>
      <w:lvlText w:val="•"/>
      <w:lvlJc w:val="left"/>
      <w:pPr>
        <w:tabs>
          <w:tab w:val="num" w:pos="4320"/>
        </w:tabs>
        <w:ind w:left="4320" w:hanging="360"/>
      </w:pPr>
      <w:rPr>
        <w:rFonts w:ascii="Times New Roman" w:hAnsi="Times New Roman" w:hint="default"/>
      </w:rPr>
    </w:lvl>
    <w:lvl w:ilvl="6" w:tplc="3CB0A528" w:tentative="1">
      <w:start w:val="1"/>
      <w:numFmt w:val="bullet"/>
      <w:lvlText w:val="•"/>
      <w:lvlJc w:val="left"/>
      <w:pPr>
        <w:tabs>
          <w:tab w:val="num" w:pos="5040"/>
        </w:tabs>
        <w:ind w:left="5040" w:hanging="360"/>
      </w:pPr>
      <w:rPr>
        <w:rFonts w:ascii="Times New Roman" w:hAnsi="Times New Roman" w:hint="default"/>
      </w:rPr>
    </w:lvl>
    <w:lvl w:ilvl="7" w:tplc="A3AEB9F8" w:tentative="1">
      <w:start w:val="1"/>
      <w:numFmt w:val="bullet"/>
      <w:lvlText w:val="•"/>
      <w:lvlJc w:val="left"/>
      <w:pPr>
        <w:tabs>
          <w:tab w:val="num" w:pos="5760"/>
        </w:tabs>
        <w:ind w:left="5760" w:hanging="360"/>
      </w:pPr>
      <w:rPr>
        <w:rFonts w:ascii="Times New Roman" w:hAnsi="Times New Roman" w:hint="default"/>
      </w:rPr>
    </w:lvl>
    <w:lvl w:ilvl="8" w:tplc="CD607224" w:tentative="1">
      <w:start w:val="1"/>
      <w:numFmt w:val="bullet"/>
      <w:lvlText w:val="•"/>
      <w:lvlJc w:val="left"/>
      <w:pPr>
        <w:tabs>
          <w:tab w:val="num" w:pos="6480"/>
        </w:tabs>
        <w:ind w:left="6480" w:hanging="360"/>
      </w:pPr>
      <w:rPr>
        <w:rFonts w:ascii="Times New Roman" w:hAnsi="Times New Roman" w:hint="default"/>
      </w:rPr>
    </w:lvl>
  </w:abstractNum>
  <w:abstractNum w:abstractNumId="8">
    <w:nsid w:val="510448ED"/>
    <w:multiLevelType w:val="hybridMultilevel"/>
    <w:tmpl w:val="89D06406"/>
    <w:lvl w:ilvl="0" w:tplc="D77A1E3E">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510F67DA"/>
    <w:multiLevelType w:val="hybridMultilevel"/>
    <w:tmpl w:val="BC5A568A"/>
    <w:lvl w:ilvl="0" w:tplc="D8EC547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59E60951"/>
    <w:multiLevelType w:val="hybridMultilevel"/>
    <w:tmpl w:val="3C92FB76"/>
    <w:lvl w:ilvl="0" w:tplc="820A4524">
      <w:start w:val="1"/>
      <w:numFmt w:val="bullet"/>
      <w:lvlText w:val="•"/>
      <w:lvlJc w:val="left"/>
      <w:pPr>
        <w:tabs>
          <w:tab w:val="num" w:pos="720"/>
        </w:tabs>
        <w:ind w:left="720" w:hanging="360"/>
      </w:pPr>
      <w:rPr>
        <w:rFonts w:ascii="Times New Roman" w:hAnsi="Times New Roman" w:hint="default"/>
      </w:rPr>
    </w:lvl>
    <w:lvl w:ilvl="1" w:tplc="E72E623C" w:tentative="1">
      <w:start w:val="1"/>
      <w:numFmt w:val="bullet"/>
      <w:lvlText w:val="•"/>
      <w:lvlJc w:val="left"/>
      <w:pPr>
        <w:tabs>
          <w:tab w:val="num" w:pos="1440"/>
        </w:tabs>
        <w:ind w:left="1440" w:hanging="360"/>
      </w:pPr>
      <w:rPr>
        <w:rFonts w:ascii="Times New Roman" w:hAnsi="Times New Roman" w:hint="default"/>
      </w:rPr>
    </w:lvl>
    <w:lvl w:ilvl="2" w:tplc="162C02C2" w:tentative="1">
      <w:start w:val="1"/>
      <w:numFmt w:val="bullet"/>
      <w:lvlText w:val="•"/>
      <w:lvlJc w:val="left"/>
      <w:pPr>
        <w:tabs>
          <w:tab w:val="num" w:pos="2160"/>
        </w:tabs>
        <w:ind w:left="2160" w:hanging="360"/>
      </w:pPr>
      <w:rPr>
        <w:rFonts w:ascii="Times New Roman" w:hAnsi="Times New Roman" w:hint="default"/>
      </w:rPr>
    </w:lvl>
    <w:lvl w:ilvl="3" w:tplc="4B7AFD4C" w:tentative="1">
      <w:start w:val="1"/>
      <w:numFmt w:val="bullet"/>
      <w:lvlText w:val="•"/>
      <w:lvlJc w:val="left"/>
      <w:pPr>
        <w:tabs>
          <w:tab w:val="num" w:pos="2880"/>
        </w:tabs>
        <w:ind w:left="2880" w:hanging="360"/>
      </w:pPr>
      <w:rPr>
        <w:rFonts w:ascii="Times New Roman" w:hAnsi="Times New Roman" w:hint="default"/>
      </w:rPr>
    </w:lvl>
    <w:lvl w:ilvl="4" w:tplc="EF263616" w:tentative="1">
      <w:start w:val="1"/>
      <w:numFmt w:val="bullet"/>
      <w:lvlText w:val="•"/>
      <w:lvlJc w:val="left"/>
      <w:pPr>
        <w:tabs>
          <w:tab w:val="num" w:pos="3600"/>
        </w:tabs>
        <w:ind w:left="3600" w:hanging="360"/>
      </w:pPr>
      <w:rPr>
        <w:rFonts w:ascii="Times New Roman" w:hAnsi="Times New Roman" w:hint="default"/>
      </w:rPr>
    </w:lvl>
    <w:lvl w:ilvl="5" w:tplc="4D5664FA" w:tentative="1">
      <w:start w:val="1"/>
      <w:numFmt w:val="bullet"/>
      <w:lvlText w:val="•"/>
      <w:lvlJc w:val="left"/>
      <w:pPr>
        <w:tabs>
          <w:tab w:val="num" w:pos="4320"/>
        </w:tabs>
        <w:ind w:left="4320" w:hanging="360"/>
      </w:pPr>
      <w:rPr>
        <w:rFonts w:ascii="Times New Roman" w:hAnsi="Times New Roman" w:hint="default"/>
      </w:rPr>
    </w:lvl>
    <w:lvl w:ilvl="6" w:tplc="61F8E63E" w:tentative="1">
      <w:start w:val="1"/>
      <w:numFmt w:val="bullet"/>
      <w:lvlText w:val="•"/>
      <w:lvlJc w:val="left"/>
      <w:pPr>
        <w:tabs>
          <w:tab w:val="num" w:pos="5040"/>
        </w:tabs>
        <w:ind w:left="5040" w:hanging="360"/>
      </w:pPr>
      <w:rPr>
        <w:rFonts w:ascii="Times New Roman" w:hAnsi="Times New Roman" w:hint="default"/>
      </w:rPr>
    </w:lvl>
    <w:lvl w:ilvl="7" w:tplc="674AECB0" w:tentative="1">
      <w:start w:val="1"/>
      <w:numFmt w:val="bullet"/>
      <w:lvlText w:val="•"/>
      <w:lvlJc w:val="left"/>
      <w:pPr>
        <w:tabs>
          <w:tab w:val="num" w:pos="5760"/>
        </w:tabs>
        <w:ind w:left="5760" w:hanging="360"/>
      </w:pPr>
      <w:rPr>
        <w:rFonts w:ascii="Times New Roman" w:hAnsi="Times New Roman" w:hint="default"/>
      </w:rPr>
    </w:lvl>
    <w:lvl w:ilvl="8" w:tplc="BA1C6A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6209FE"/>
    <w:multiLevelType w:val="hybridMultilevel"/>
    <w:tmpl w:val="13FE382C"/>
    <w:lvl w:ilvl="0" w:tplc="C5C81F8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67293"/>
    <w:multiLevelType w:val="hybridMultilevel"/>
    <w:tmpl w:val="80C0D9C0"/>
    <w:lvl w:ilvl="0" w:tplc="52FC0C5A">
      <w:start w:val="1"/>
      <w:numFmt w:val="bullet"/>
      <w:lvlText w:val="•"/>
      <w:lvlJc w:val="left"/>
      <w:pPr>
        <w:tabs>
          <w:tab w:val="num" w:pos="720"/>
        </w:tabs>
        <w:ind w:left="720" w:hanging="360"/>
      </w:pPr>
      <w:rPr>
        <w:rFonts w:ascii="Times New Roman" w:hAnsi="Times New Roman" w:hint="default"/>
      </w:rPr>
    </w:lvl>
    <w:lvl w:ilvl="1" w:tplc="446A098A">
      <w:start w:val="1"/>
      <w:numFmt w:val="bullet"/>
      <w:lvlText w:val="•"/>
      <w:lvlJc w:val="left"/>
      <w:pPr>
        <w:tabs>
          <w:tab w:val="num" w:pos="1440"/>
        </w:tabs>
        <w:ind w:left="1440" w:hanging="360"/>
      </w:pPr>
      <w:rPr>
        <w:rFonts w:ascii="Times New Roman" w:hAnsi="Times New Roman" w:hint="default"/>
      </w:rPr>
    </w:lvl>
    <w:lvl w:ilvl="2" w:tplc="6B4E2C2A" w:tentative="1">
      <w:start w:val="1"/>
      <w:numFmt w:val="bullet"/>
      <w:lvlText w:val="•"/>
      <w:lvlJc w:val="left"/>
      <w:pPr>
        <w:tabs>
          <w:tab w:val="num" w:pos="2160"/>
        </w:tabs>
        <w:ind w:left="2160" w:hanging="360"/>
      </w:pPr>
      <w:rPr>
        <w:rFonts w:ascii="Times New Roman" w:hAnsi="Times New Roman" w:hint="default"/>
      </w:rPr>
    </w:lvl>
    <w:lvl w:ilvl="3" w:tplc="9EB28256" w:tentative="1">
      <w:start w:val="1"/>
      <w:numFmt w:val="bullet"/>
      <w:lvlText w:val="•"/>
      <w:lvlJc w:val="left"/>
      <w:pPr>
        <w:tabs>
          <w:tab w:val="num" w:pos="2880"/>
        </w:tabs>
        <w:ind w:left="2880" w:hanging="360"/>
      </w:pPr>
      <w:rPr>
        <w:rFonts w:ascii="Times New Roman" w:hAnsi="Times New Roman" w:hint="default"/>
      </w:rPr>
    </w:lvl>
    <w:lvl w:ilvl="4" w:tplc="A9501090" w:tentative="1">
      <w:start w:val="1"/>
      <w:numFmt w:val="bullet"/>
      <w:lvlText w:val="•"/>
      <w:lvlJc w:val="left"/>
      <w:pPr>
        <w:tabs>
          <w:tab w:val="num" w:pos="3600"/>
        </w:tabs>
        <w:ind w:left="3600" w:hanging="360"/>
      </w:pPr>
      <w:rPr>
        <w:rFonts w:ascii="Times New Roman" w:hAnsi="Times New Roman" w:hint="default"/>
      </w:rPr>
    </w:lvl>
    <w:lvl w:ilvl="5" w:tplc="BB2AC1D8" w:tentative="1">
      <w:start w:val="1"/>
      <w:numFmt w:val="bullet"/>
      <w:lvlText w:val="•"/>
      <w:lvlJc w:val="left"/>
      <w:pPr>
        <w:tabs>
          <w:tab w:val="num" w:pos="4320"/>
        </w:tabs>
        <w:ind w:left="4320" w:hanging="360"/>
      </w:pPr>
      <w:rPr>
        <w:rFonts w:ascii="Times New Roman" w:hAnsi="Times New Roman" w:hint="default"/>
      </w:rPr>
    </w:lvl>
    <w:lvl w:ilvl="6" w:tplc="27208022" w:tentative="1">
      <w:start w:val="1"/>
      <w:numFmt w:val="bullet"/>
      <w:lvlText w:val="•"/>
      <w:lvlJc w:val="left"/>
      <w:pPr>
        <w:tabs>
          <w:tab w:val="num" w:pos="5040"/>
        </w:tabs>
        <w:ind w:left="5040" w:hanging="360"/>
      </w:pPr>
      <w:rPr>
        <w:rFonts w:ascii="Times New Roman" w:hAnsi="Times New Roman" w:hint="default"/>
      </w:rPr>
    </w:lvl>
    <w:lvl w:ilvl="7" w:tplc="F968D436" w:tentative="1">
      <w:start w:val="1"/>
      <w:numFmt w:val="bullet"/>
      <w:lvlText w:val="•"/>
      <w:lvlJc w:val="left"/>
      <w:pPr>
        <w:tabs>
          <w:tab w:val="num" w:pos="5760"/>
        </w:tabs>
        <w:ind w:left="5760" w:hanging="360"/>
      </w:pPr>
      <w:rPr>
        <w:rFonts w:ascii="Times New Roman" w:hAnsi="Times New Roman" w:hint="default"/>
      </w:rPr>
    </w:lvl>
    <w:lvl w:ilvl="8" w:tplc="BD3899C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CA76259"/>
    <w:multiLevelType w:val="hybridMultilevel"/>
    <w:tmpl w:val="904C4D00"/>
    <w:lvl w:ilvl="0" w:tplc="7F5A2322">
      <w:start w:val="1"/>
      <w:numFmt w:val="bullet"/>
      <w:lvlText w:val="•"/>
      <w:lvlJc w:val="left"/>
      <w:pPr>
        <w:tabs>
          <w:tab w:val="num" w:pos="720"/>
        </w:tabs>
        <w:ind w:left="720" w:hanging="360"/>
      </w:pPr>
      <w:rPr>
        <w:rFonts w:ascii="Times New Roman" w:hAnsi="Times New Roman" w:hint="default"/>
      </w:rPr>
    </w:lvl>
    <w:lvl w:ilvl="1" w:tplc="27EAB228">
      <w:start w:val="873"/>
      <w:numFmt w:val="bullet"/>
      <w:lvlText w:val="o"/>
      <w:lvlJc w:val="left"/>
      <w:pPr>
        <w:tabs>
          <w:tab w:val="num" w:pos="1440"/>
        </w:tabs>
        <w:ind w:left="1440" w:hanging="360"/>
      </w:pPr>
      <w:rPr>
        <w:rFonts w:ascii="Times New Roman" w:hAnsi="Times New Roman" w:hint="default"/>
      </w:rPr>
    </w:lvl>
    <w:lvl w:ilvl="2" w:tplc="560EBA94" w:tentative="1">
      <w:start w:val="1"/>
      <w:numFmt w:val="bullet"/>
      <w:lvlText w:val="•"/>
      <w:lvlJc w:val="left"/>
      <w:pPr>
        <w:tabs>
          <w:tab w:val="num" w:pos="2160"/>
        </w:tabs>
        <w:ind w:left="2160" w:hanging="360"/>
      </w:pPr>
      <w:rPr>
        <w:rFonts w:ascii="Times New Roman" w:hAnsi="Times New Roman" w:hint="default"/>
      </w:rPr>
    </w:lvl>
    <w:lvl w:ilvl="3" w:tplc="6B089A0A" w:tentative="1">
      <w:start w:val="1"/>
      <w:numFmt w:val="bullet"/>
      <w:lvlText w:val="•"/>
      <w:lvlJc w:val="left"/>
      <w:pPr>
        <w:tabs>
          <w:tab w:val="num" w:pos="2880"/>
        </w:tabs>
        <w:ind w:left="2880" w:hanging="360"/>
      </w:pPr>
      <w:rPr>
        <w:rFonts w:ascii="Times New Roman" w:hAnsi="Times New Roman" w:hint="default"/>
      </w:rPr>
    </w:lvl>
    <w:lvl w:ilvl="4" w:tplc="08D64AE6" w:tentative="1">
      <w:start w:val="1"/>
      <w:numFmt w:val="bullet"/>
      <w:lvlText w:val="•"/>
      <w:lvlJc w:val="left"/>
      <w:pPr>
        <w:tabs>
          <w:tab w:val="num" w:pos="3600"/>
        </w:tabs>
        <w:ind w:left="3600" w:hanging="360"/>
      </w:pPr>
      <w:rPr>
        <w:rFonts w:ascii="Times New Roman" w:hAnsi="Times New Roman" w:hint="default"/>
      </w:rPr>
    </w:lvl>
    <w:lvl w:ilvl="5" w:tplc="BE542468" w:tentative="1">
      <w:start w:val="1"/>
      <w:numFmt w:val="bullet"/>
      <w:lvlText w:val="•"/>
      <w:lvlJc w:val="left"/>
      <w:pPr>
        <w:tabs>
          <w:tab w:val="num" w:pos="4320"/>
        </w:tabs>
        <w:ind w:left="4320" w:hanging="360"/>
      </w:pPr>
      <w:rPr>
        <w:rFonts w:ascii="Times New Roman" w:hAnsi="Times New Roman" w:hint="default"/>
      </w:rPr>
    </w:lvl>
    <w:lvl w:ilvl="6" w:tplc="00A2BACA" w:tentative="1">
      <w:start w:val="1"/>
      <w:numFmt w:val="bullet"/>
      <w:lvlText w:val="•"/>
      <w:lvlJc w:val="left"/>
      <w:pPr>
        <w:tabs>
          <w:tab w:val="num" w:pos="5040"/>
        </w:tabs>
        <w:ind w:left="5040" w:hanging="360"/>
      </w:pPr>
      <w:rPr>
        <w:rFonts w:ascii="Times New Roman" w:hAnsi="Times New Roman" w:hint="default"/>
      </w:rPr>
    </w:lvl>
    <w:lvl w:ilvl="7" w:tplc="75000FCE" w:tentative="1">
      <w:start w:val="1"/>
      <w:numFmt w:val="bullet"/>
      <w:lvlText w:val="•"/>
      <w:lvlJc w:val="left"/>
      <w:pPr>
        <w:tabs>
          <w:tab w:val="num" w:pos="5760"/>
        </w:tabs>
        <w:ind w:left="5760" w:hanging="360"/>
      </w:pPr>
      <w:rPr>
        <w:rFonts w:ascii="Times New Roman" w:hAnsi="Times New Roman" w:hint="default"/>
      </w:rPr>
    </w:lvl>
    <w:lvl w:ilvl="8" w:tplc="AD32C2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203BB"/>
    <w:multiLevelType w:val="hybridMultilevel"/>
    <w:tmpl w:val="896EA476"/>
    <w:lvl w:ilvl="0" w:tplc="776CD286">
      <w:start w:val="1"/>
      <w:numFmt w:val="bullet"/>
      <w:lvlText w:val=""/>
      <w:lvlJc w:val="left"/>
      <w:pPr>
        <w:ind w:left="720" w:hanging="360"/>
      </w:pPr>
      <w:rPr>
        <w:rFonts w:ascii="Symbol" w:hAnsi="Symbol" w:hint="default"/>
      </w:rPr>
    </w:lvl>
    <w:lvl w:ilvl="1" w:tplc="E64A4CEE" w:tentative="1">
      <w:start w:val="1"/>
      <w:numFmt w:val="bullet"/>
      <w:lvlText w:val="o"/>
      <w:lvlJc w:val="left"/>
      <w:pPr>
        <w:ind w:left="1440" w:hanging="360"/>
      </w:pPr>
      <w:rPr>
        <w:rFonts w:ascii="Courier New" w:hAnsi="Courier New" w:cs="Courier New" w:hint="default"/>
      </w:rPr>
    </w:lvl>
    <w:lvl w:ilvl="2" w:tplc="BEF20496" w:tentative="1">
      <w:start w:val="1"/>
      <w:numFmt w:val="bullet"/>
      <w:lvlText w:val=""/>
      <w:lvlJc w:val="left"/>
      <w:pPr>
        <w:ind w:left="2160" w:hanging="360"/>
      </w:pPr>
      <w:rPr>
        <w:rFonts w:ascii="Wingdings" w:hAnsi="Wingdings" w:hint="default"/>
      </w:rPr>
    </w:lvl>
    <w:lvl w:ilvl="3" w:tplc="52805812" w:tentative="1">
      <w:start w:val="1"/>
      <w:numFmt w:val="bullet"/>
      <w:lvlText w:val=""/>
      <w:lvlJc w:val="left"/>
      <w:pPr>
        <w:ind w:left="2880" w:hanging="360"/>
      </w:pPr>
      <w:rPr>
        <w:rFonts w:ascii="Symbol" w:hAnsi="Symbol" w:hint="default"/>
      </w:rPr>
    </w:lvl>
    <w:lvl w:ilvl="4" w:tplc="3F1CA126" w:tentative="1">
      <w:start w:val="1"/>
      <w:numFmt w:val="bullet"/>
      <w:lvlText w:val="o"/>
      <w:lvlJc w:val="left"/>
      <w:pPr>
        <w:ind w:left="3600" w:hanging="360"/>
      </w:pPr>
      <w:rPr>
        <w:rFonts w:ascii="Courier New" w:hAnsi="Courier New" w:cs="Courier New" w:hint="default"/>
      </w:rPr>
    </w:lvl>
    <w:lvl w:ilvl="5" w:tplc="A3DCB60A" w:tentative="1">
      <w:start w:val="1"/>
      <w:numFmt w:val="bullet"/>
      <w:lvlText w:val=""/>
      <w:lvlJc w:val="left"/>
      <w:pPr>
        <w:ind w:left="4320" w:hanging="360"/>
      </w:pPr>
      <w:rPr>
        <w:rFonts w:ascii="Wingdings" w:hAnsi="Wingdings" w:hint="default"/>
      </w:rPr>
    </w:lvl>
    <w:lvl w:ilvl="6" w:tplc="3AECC9E6" w:tentative="1">
      <w:start w:val="1"/>
      <w:numFmt w:val="bullet"/>
      <w:lvlText w:val=""/>
      <w:lvlJc w:val="left"/>
      <w:pPr>
        <w:ind w:left="5040" w:hanging="360"/>
      </w:pPr>
      <w:rPr>
        <w:rFonts w:ascii="Symbol" w:hAnsi="Symbol" w:hint="default"/>
      </w:rPr>
    </w:lvl>
    <w:lvl w:ilvl="7" w:tplc="110C6C74" w:tentative="1">
      <w:start w:val="1"/>
      <w:numFmt w:val="bullet"/>
      <w:lvlText w:val="o"/>
      <w:lvlJc w:val="left"/>
      <w:pPr>
        <w:ind w:left="5760" w:hanging="360"/>
      </w:pPr>
      <w:rPr>
        <w:rFonts w:ascii="Courier New" w:hAnsi="Courier New" w:cs="Courier New" w:hint="default"/>
      </w:rPr>
    </w:lvl>
    <w:lvl w:ilvl="8" w:tplc="188C0DDA"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3"/>
  </w:num>
  <w:num w:numId="5">
    <w:abstractNumId w:val="5"/>
  </w:num>
  <w:num w:numId="6">
    <w:abstractNumId w:val="0"/>
  </w:num>
  <w:num w:numId="7">
    <w:abstractNumId w:val="12"/>
  </w:num>
  <w:num w:numId="8">
    <w:abstractNumId w:val="7"/>
  </w:num>
  <w:num w:numId="9">
    <w:abstractNumId w:val="10"/>
  </w:num>
  <w:num w:numId="10">
    <w:abstractNumId w:val="13"/>
  </w:num>
  <w:num w:numId="11">
    <w:abstractNumId w:val="11"/>
  </w:num>
  <w:num w:numId="12">
    <w:abstractNumId w:val="4"/>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revisionView w:markup="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F5"/>
    <w:rsid w:val="00001844"/>
    <w:rsid w:val="00001BEB"/>
    <w:rsid w:val="00007B02"/>
    <w:rsid w:val="000147E5"/>
    <w:rsid w:val="00016DF2"/>
    <w:rsid w:val="00023E7E"/>
    <w:rsid w:val="00024B61"/>
    <w:rsid w:val="00045FE3"/>
    <w:rsid w:val="00055C88"/>
    <w:rsid w:val="00060DF4"/>
    <w:rsid w:val="00060E08"/>
    <w:rsid w:val="00066128"/>
    <w:rsid w:val="00082080"/>
    <w:rsid w:val="00082159"/>
    <w:rsid w:val="00085878"/>
    <w:rsid w:val="000A258E"/>
    <w:rsid w:val="000A3623"/>
    <w:rsid w:val="000A57CB"/>
    <w:rsid w:val="000B09D6"/>
    <w:rsid w:val="000B7A2F"/>
    <w:rsid w:val="000C6615"/>
    <w:rsid w:val="000D0451"/>
    <w:rsid w:val="000D27B7"/>
    <w:rsid w:val="000D5A47"/>
    <w:rsid w:val="000D78EB"/>
    <w:rsid w:val="001053B0"/>
    <w:rsid w:val="00105572"/>
    <w:rsid w:val="00105EF2"/>
    <w:rsid w:val="00112F56"/>
    <w:rsid w:val="00116815"/>
    <w:rsid w:val="001218C0"/>
    <w:rsid w:val="0013404E"/>
    <w:rsid w:val="00141898"/>
    <w:rsid w:val="00153E07"/>
    <w:rsid w:val="001601A0"/>
    <w:rsid w:val="00160BFE"/>
    <w:rsid w:val="00163F34"/>
    <w:rsid w:val="001657C1"/>
    <w:rsid w:val="0017455E"/>
    <w:rsid w:val="00180715"/>
    <w:rsid w:val="00181D61"/>
    <w:rsid w:val="001826E2"/>
    <w:rsid w:val="001931A8"/>
    <w:rsid w:val="001A0751"/>
    <w:rsid w:val="001A2E2A"/>
    <w:rsid w:val="001A5673"/>
    <w:rsid w:val="001A670A"/>
    <w:rsid w:val="001B012E"/>
    <w:rsid w:val="001C39BC"/>
    <w:rsid w:val="001C5BF3"/>
    <w:rsid w:val="001D0024"/>
    <w:rsid w:val="001D1662"/>
    <w:rsid w:val="001D6955"/>
    <w:rsid w:val="001E26D4"/>
    <w:rsid w:val="001E3495"/>
    <w:rsid w:val="001E4CBA"/>
    <w:rsid w:val="001E518D"/>
    <w:rsid w:val="001E698C"/>
    <w:rsid w:val="001E6C99"/>
    <w:rsid w:val="001F451D"/>
    <w:rsid w:val="001F775D"/>
    <w:rsid w:val="00200E8C"/>
    <w:rsid w:val="0020459E"/>
    <w:rsid w:val="00205C39"/>
    <w:rsid w:val="00206991"/>
    <w:rsid w:val="0021009A"/>
    <w:rsid w:val="00211897"/>
    <w:rsid w:val="00221E46"/>
    <w:rsid w:val="0023794C"/>
    <w:rsid w:val="002417F1"/>
    <w:rsid w:val="00242EBA"/>
    <w:rsid w:val="00245CF4"/>
    <w:rsid w:val="0024610B"/>
    <w:rsid w:val="00254D99"/>
    <w:rsid w:val="002558B0"/>
    <w:rsid w:val="00255CC1"/>
    <w:rsid w:val="00260181"/>
    <w:rsid w:val="002660D7"/>
    <w:rsid w:val="00272675"/>
    <w:rsid w:val="00277EBF"/>
    <w:rsid w:val="0028038F"/>
    <w:rsid w:val="00282A4D"/>
    <w:rsid w:val="002842B9"/>
    <w:rsid w:val="002866DD"/>
    <w:rsid w:val="00293E88"/>
    <w:rsid w:val="0029718C"/>
    <w:rsid w:val="002A6AD7"/>
    <w:rsid w:val="002B1C22"/>
    <w:rsid w:val="002B7DB1"/>
    <w:rsid w:val="002D06A6"/>
    <w:rsid w:val="002D56FE"/>
    <w:rsid w:val="002E31AA"/>
    <w:rsid w:val="002F444C"/>
    <w:rsid w:val="0030052D"/>
    <w:rsid w:val="00314E83"/>
    <w:rsid w:val="003241C6"/>
    <w:rsid w:val="003242F4"/>
    <w:rsid w:val="0033630C"/>
    <w:rsid w:val="003408F4"/>
    <w:rsid w:val="003448D2"/>
    <w:rsid w:val="0035595F"/>
    <w:rsid w:val="00373950"/>
    <w:rsid w:val="00380489"/>
    <w:rsid w:val="0038429F"/>
    <w:rsid w:val="0038504B"/>
    <w:rsid w:val="00387BA7"/>
    <w:rsid w:val="00390797"/>
    <w:rsid w:val="00391FE5"/>
    <w:rsid w:val="003932B0"/>
    <w:rsid w:val="003941BB"/>
    <w:rsid w:val="00396A44"/>
    <w:rsid w:val="003A03B5"/>
    <w:rsid w:val="003A3B9F"/>
    <w:rsid w:val="003A4C65"/>
    <w:rsid w:val="003A63CE"/>
    <w:rsid w:val="003B1A57"/>
    <w:rsid w:val="003B32FF"/>
    <w:rsid w:val="003D4746"/>
    <w:rsid w:val="003D7614"/>
    <w:rsid w:val="003E6354"/>
    <w:rsid w:val="003F724E"/>
    <w:rsid w:val="00403E0D"/>
    <w:rsid w:val="00415905"/>
    <w:rsid w:val="0041622A"/>
    <w:rsid w:val="00416EFC"/>
    <w:rsid w:val="00422F34"/>
    <w:rsid w:val="00423ED3"/>
    <w:rsid w:val="00433B7F"/>
    <w:rsid w:val="0043410B"/>
    <w:rsid w:val="004344F6"/>
    <w:rsid w:val="0045224C"/>
    <w:rsid w:val="0045731B"/>
    <w:rsid w:val="0045758A"/>
    <w:rsid w:val="004609AD"/>
    <w:rsid w:val="00466526"/>
    <w:rsid w:val="004675A8"/>
    <w:rsid w:val="004728A0"/>
    <w:rsid w:val="004774F0"/>
    <w:rsid w:val="00485E27"/>
    <w:rsid w:val="00496F95"/>
    <w:rsid w:val="004A167F"/>
    <w:rsid w:val="004A5233"/>
    <w:rsid w:val="004A6132"/>
    <w:rsid w:val="004B0046"/>
    <w:rsid w:val="004B241B"/>
    <w:rsid w:val="004C15D2"/>
    <w:rsid w:val="004D35B9"/>
    <w:rsid w:val="004E4D3D"/>
    <w:rsid w:val="004F5624"/>
    <w:rsid w:val="004F6ACC"/>
    <w:rsid w:val="00503FFB"/>
    <w:rsid w:val="00510E9A"/>
    <w:rsid w:val="00525C93"/>
    <w:rsid w:val="00532523"/>
    <w:rsid w:val="005456D6"/>
    <w:rsid w:val="005528A2"/>
    <w:rsid w:val="00560256"/>
    <w:rsid w:val="005655CD"/>
    <w:rsid w:val="00582294"/>
    <w:rsid w:val="005831BE"/>
    <w:rsid w:val="0058420F"/>
    <w:rsid w:val="00586F77"/>
    <w:rsid w:val="00594293"/>
    <w:rsid w:val="00596989"/>
    <w:rsid w:val="005A22F5"/>
    <w:rsid w:val="005A4689"/>
    <w:rsid w:val="005A49D0"/>
    <w:rsid w:val="005A4B6D"/>
    <w:rsid w:val="005B64BD"/>
    <w:rsid w:val="005C04C0"/>
    <w:rsid w:val="005C237A"/>
    <w:rsid w:val="005D1B85"/>
    <w:rsid w:val="005E62F0"/>
    <w:rsid w:val="00603283"/>
    <w:rsid w:val="006111C8"/>
    <w:rsid w:val="00615D3E"/>
    <w:rsid w:val="00615E66"/>
    <w:rsid w:val="006273E5"/>
    <w:rsid w:val="00631204"/>
    <w:rsid w:val="00631A4F"/>
    <w:rsid w:val="00640C8B"/>
    <w:rsid w:val="00643B2A"/>
    <w:rsid w:val="00644BBD"/>
    <w:rsid w:val="00653FD4"/>
    <w:rsid w:val="00666F22"/>
    <w:rsid w:val="00673099"/>
    <w:rsid w:val="006764A9"/>
    <w:rsid w:val="006827AF"/>
    <w:rsid w:val="00687EF1"/>
    <w:rsid w:val="00693B8B"/>
    <w:rsid w:val="006A12FE"/>
    <w:rsid w:val="006A23B7"/>
    <w:rsid w:val="006A7C3F"/>
    <w:rsid w:val="006B10A0"/>
    <w:rsid w:val="006B39E8"/>
    <w:rsid w:val="006E223D"/>
    <w:rsid w:val="006E2C03"/>
    <w:rsid w:val="006F0DA9"/>
    <w:rsid w:val="006F1C1E"/>
    <w:rsid w:val="00712D4F"/>
    <w:rsid w:val="00713F70"/>
    <w:rsid w:val="00717CC8"/>
    <w:rsid w:val="00726237"/>
    <w:rsid w:val="00735205"/>
    <w:rsid w:val="00750E5E"/>
    <w:rsid w:val="00774E79"/>
    <w:rsid w:val="007755EA"/>
    <w:rsid w:val="007816AC"/>
    <w:rsid w:val="00792179"/>
    <w:rsid w:val="0079227C"/>
    <w:rsid w:val="00792F14"/>
    <w:rsid w:val="0079528D"/>
    <w:rsid w:val="007B5BC6"/>
    <w:rsid w:val="007C32AE"/>
    <w:rsid w:val="007D028D"/>
    <w:rsid w:val="007D1055"/>
    <w:rsid w:val="007D311B"/>
    <w:rsid w:val="007E21A9"/>
    <w:rsid w:val="007E352B"/>
    <w:rsid w:val="007E3F4C"/>
    <w:rsid w:val="007E7F73"/>
    <w:rsid w:val="007F3351"/>
    <w:rsid w:val="007F3CAC"/>
    <w:rsid w:val="007F4ABF"/>
    <w:rsid w:val="007F7084"/>
    <w:rsid w:val="008019E0"/>
    <w:rsid w:val="00806AD8"/>
    <w:rsid w:val="0082397F"/>
    <w:rsid w:val="00824EB9"/>
    <w:rsid w:val="00827695"/>
    <w:rsid w:val="00827ECD"/>
    <w:rsid w:val="0083537B"/>
    <w:rsid w:val="00845ACE"/>
    <w:rsid w:val="008502A0"/>
    <w:rsid w:val="008504FB"/>
    <w:rsid w:val="00851602"/>
    <w:rsid w:val="008630E5"/>
    <w:rsid w:val="00892E37"/>
    <w:rsid w:val="0089447A"/>
    <w:rsid w:val="0089751C"/>
    <w:rsid w:val="008A3475"/>
    <w:rsid w:val="008A5F93"/>
    <w:rsid w:val="008A6B80"/>
    <w:rsid w:val="008B77ED"/>
    <w:rsid w:val="008C17B1"/>
    <w:rsid w:val="008C238D"/>
    <w:rsid w:val="008D1C61"/>
    <w:rsid w:val="008E6EEF"/>
    <w:rsid w:val="008E7DC6"/>
    <w:rsid w:val="00901F71"/>
    <w:rsid w:val="009033FC"/>
    <w:rsid w:val="0092584E"/>
    <w:rsid w:val="00933C54"/>
    <w:rsid w:val="00935EF3"/>
    <w:rsid w:val="00940225"/>
    <w:rsid w:val="009664E0"/>
    <w:rsid w:val="0096670D"/>
    <w:rsid w:val="00970FFE"/>
    <w:rsid w:val="00981747"/>
    <w:rsid w:val="00983AF5"/>
    <w:rsid w:val="00986852"/>
    <w:rsid w:val="00987BCE"/>
    <w:rsid w:val="00993A1D"/>
    <w:rsid w:val="00994CD1"/>
    <w:rsid w:val="009A7131"/>
    <w:rsid w:val="009B1993"/>
    <w:rsid w:val="009B3C3A"/>
    <w:rsid w:val="009B7EDB"/>
    <w:rsid w:val="009C1C36"/>
    <w:rsid w:val="009C6007"/>
    <w:rsid w:val="009C71CD"/>
    <w:rsid w:val="009D1186"/>
    <w:rsid w:val="009D1E4C"/>
    <w:rsid w:val="009E01FF"/>
    <w:rsid w:val="009F4D89"/>
    <w:rsid w:val="00A01877"/>
    <w:rsid w:val="00A062F5"/>
    <w:rsid w:val="00A16F4B"/>
    <w:rsid w:val="00A170F5"/>
    <w:rsid w:val="00A20F2D"/>
    <w:rsid w:val="00A30657"/>
    <w:rsid w:val="00A31FDF"/>
    <w:rsid w:val="00A360E4"/>
    <w:rsid w:val="00A4098F"/>
    <w:rsid w:val="00A4248A"/>
    <w:rsid w:val="00A433D0"/>
    <w:rsid w:val="00A50121"/>
    <w:rsid w:val="00A54049"/>
    <w:rsid w:val="00A5497C"/>
    <w:rsid w:val="00A558A9"/>
    <w:rsid w:val="00A6248E"/>
    <w:rsid w:val="00A661CD"/>
    <w:rsid w:val="00A67D12"/>
    <w:rsid w:val="00A7278B"/>
    <w:rsid w:val="00A76888"/>
    <w:rsid w:val="00A87F96"/>
    <w:rsid w:val="00A91596"/>
    <w:rsid w:val="00A955F3"/>
    <w:rsid w:val="00AA06CF"/>
    <w:rsid w:val="00AA5F3A"/>
    <w:rsid w:val="00AB063A"/>
    <w:rsid w:val="00AC0FC3"/>
    <w:rsid w:val="00AC14E2"/>
    <w:rsid w:val="00AC1A87"/>
    <w:rsid w:val="00AC6B64"/>
    <w:rsid w:val="00AD1E6E"/>
    <w:rsid w:val="00AE74D0"/>
    <w:rsid w:val="00AF2A03"/>
    <w:rsid w:val="00B00171"/>
    <w:rsid w:val="00B02DD4"/>
    <w:rsid w:val="00B03BBC"/>
    <w:rsid w:val="00B0425B"/>
    <w:rsid w:val="00B072CD"/>
    <w:rsid w:val="00B16AEE"/>
    <w:rsid w:val="00B219D7"/>
    <w:rsid w:val="00B22887"/>
    <w:rsid w:val="00B30122"/>
    <w:rsid w:val="00B313A1"/>
    <w:rsid w:val="00B4068A"/>
    <w:rsid w:val="00B41973"/>
    <w:rsid w:val="00B51AF9"/>
    <w:rsid w:val="00B543BD"/>
    <w:rsid w:val="00B55221"/>
    <w:rsid w:val="00B62736"/>
    <w:rsid w:val="00B64BC7"/>
    <w:rsid w:val="00B75F58"/>
    <w:rsid w:val="00B92118"/>
    <w:rsid w:val="00BB1374"/>
    <w:rsid w:val="00BB2E03"/>
    <w:rsid w:val="00BB76E3"/>
    <w:rsid w:val="00BC34B3"/>
    <w:rsid w:val="00BC562A"/>
    <w:rsid w:val="00BC5ECC"/>
    <w:rsid w:val="00BE12B5"/>
    <w:rsid w:val="00BE3705"/>
    <w:rsid w:val="00BE4225"/>
    <w:rsid w:val="00BE47F3"/>
    <w:rsid w:val="00BF4529"/>
    <w:rsid w:val="00C03968"/>
    <w:rsid w:val="00C13152"/>
    <w:rsid w:val="00C16C8C"/>
    <w:rsid w:val="00C20FB4"/>
    <w:rsid w:val="00C35DC3"/>
    <w:rsid w:val="00C41465"/>
    <w:rsid w:val="00C47CCF"/>
    <w:rsid w:val="00C54A69"/>
    <w:rsid w:val="00C56739"/>
    <w:rsid w:val="00C62791"/>
    <w:rsid w:val="00C63293"/>
    <w:rsid w:val="00C76C5D"/>
    <w:rsid w:val="00C90CE5"/>
    <w:rsid w:val="00C92E6A"/>
    <w:rsid w:val="00C92EB2"/>
    <w:rsid w:val="00C967B3"/>
    <w:rsid w:val="00CA324E"/>
    <w:rsid w:val="00CA6244"/>
    <w:rsid w:val="00CA62E7"/>
    <w:rsid w:val="00CC26A0"/>
    <w:rsid w:val="00CC59FC"/>
    <w:rsid w:val="00CD79C0"/>
    <w:rsid w:val="00CE5753"/>
    <w:rsid w:val="00CF11E9"/>
    <w:rsid w:val="00CF3B79"/>
    <w:rsid w:val="00D003BE"/>
    <w:rsid w:val="00D008E9"/>
    <w:rsid w:val="00D02250"/>
    <w:rsid w:val="00D10765"/>
    <w:rsid w:val="00D2575A"/>
    <w:rsid w:val="00D3281A"/>
    <w:rsid w:val="00D40EB0"/>
    <w:rsid w:val="00D423F2"/>
    <w:rsid w:val="00D43F1E"/>
    <w:rsid w:val="00D4675E"/>
    <w:rsid w:val="00D46A2D"/>
    <w:rsid w:val="00D47208"/>
    <w:rsid w:val="00D51B44"/>
    <w:rsid w:val="00D62CBD"/>
    <w:rsid w:val="00D7385B"/>
    <w:rsid w:val="00D74247"/>
    <w:rsid w:val="00D74559"/>
    <w:rsid w:val="00D76416"/>
    <w:rsid w:val="00D92CF0"/>
    <w:rsid w:val="00D940AA"/>
    <w:rsid w:val="00D949E4"/>
    <w:rsid w:val="00DB009E"/>
    <w:rsid w:val="00DB3257"/>
    <w:rsid w:val="00DB3EFB"/>
    <w:rsid w:val="00DB57DA"/>
    <w:rsid w:val="00DD52FE"/>
    <w:rsid w:val="00DE4317"/>
    <w:rsid w:val="00DE439C"/>
    <w:rsid w:val="00DF107C"/>
    <w:rsid w:val="00DF2601"/>
    <w:rsid w:val="00E01841"/>
    <w:rsid w:val="00E14B2C"/>
    <w:rsid w:val="00E244BE"/>
    <w:rsid w:val="00E40C88"/>
    <w:rsid w:val="00E42F34"/>
    <w:rsid w:val="00E46926"/>
    <w:rsid w:val="00E52EF1"/>
    <w:rsid w:val="00E637B4"/>
    <w:rsid w:val="00E70998"/>
    <w:rsid w:val="00E715BB"/>
    <w:rsid w:val="00E73BCC"/>
    <w:rsid w:val="00E74931"/>
    <w:rsid w:val="00E76266"/>
    <w:rsid w:val="00E80842"/>
    <w:rsid w:val="00E81010"/>
    <w:rsid w:val="00E82D18"/>
    <w:rsid w:val="00E84937"/>
    <w:rsid w:val="00E95F2C"/>
    <w:rsid w:val="00EA2EBC"/>
    <w:rsid w:val="00EA3119"/>
    <w:rsid w:val="00EA47A5"/>
    <w:rsid w:val="00EA4DB3"/>
    <w:rsid w:val="00EB1613"/>
    <w:rsid w:val="00EB2E96"/>
    <w:rsid w:val="00EB4D34"/>
    <w:rsid w:val="00EB6480"/>
    <w:rsid w:val="00EC394E"/>
    <w:rsid w:val="00ED0DD9"/>
    <w:rsid w:val="00ED7ACF"/>
    <w:rsid w:val="00EE1D18"/>
    <w:rsid w:val="00EE4797"/>
    <w:rsid w:val="00EE4BB6"/>
    <w:rsid w:val="00EE5743"/>
    <w:rsid w:val="00F04DC7"/>
    <w:rsid w:val="00F12D22"/>
    <w:rsid w:val="00F13146"/>
    <w:rsid w:val="00F17AD7"/>
    <w:rsid w:val="00F25CEF"/>
    <w:rsid w:val="00F263EF"/>
    <w:rsid w:val="00F30833"/>
    <w:rsid w:val="00F36E63"/>
    <w:rsid w:val="00F53DAA"/>
    <w:rsid w:val="00F60279"/>
    <w:rsid w:val="00F60886"/>
    <w:rsid w:val="00F60E99"/>
    <w:rsid w:val="00F6547E"/>
    <w:rsid w:val="00F7273D"/>
    <w:rsid w:val="00F83472"/>
    <w:rsid w:val="00F854CE"/>
    <w:rsid w:val="00F8587A"/>
    <w:rsid w:val="00F91ECB"/>
    <w:rsid w:val="00F95EC8"/>
    <w:rsid w:val="00FA0610"/>
    <w:rsid w:val="00FA0615"/>
    <w:rsid w:val="00FA134E"/>
    <w:rsid w:val="00FA636E"/>
    <w:rsid w:val="00FB4DFA"/>
    <w:rsid w:val="00FB7E6B"/>
    <w:rsid w:val="00FC63AB"/>
    <w:rsid w:val="00FD2228"/>
    <w:rsid w:val="00FD259C"/>
    <w:rsid w:val="00FE2AB6"/>
    <w:rsid w:val="00FE2F0B"/>
    <w:rsid w:val="00FE349B"/>
    <w:rsid w:val="00FE6639"/>
    <w:rsid w:val="00FE7D2E"/>
    <w:rsid w:val="00FE7FBA"/>
    <w:rsid w:val="00FF4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4E"/>
    <w:pPr>
      <w:ind w:left="720"/>
      <w:contextualSpacing/>
    </w:pPr>
  </w:style>
  <w:style w:type="paragraph" w:styleId="Title">
    <w:name w:val="Title"/>
    <w:basedOn w:val="Normal"/>
    <w:qFormat/>
    <w:rsid w:val="00EC394E"/>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rsid w:val="00EC394E"/>
    <w:rPr>
      <w:rFonts w:ascii="Arial" w:eastAsia="Times New Roman" w:hAnsi="Arial" w:cs="Arial"/>
      <w:b/>
      <w:bCs/>
      <w:sz w:val="20"/>
      <w:szCs w:val="20"/>
    </w:rPr>
  </w:style>
  <w:style w:type="paragraph" w:styleId="Header">
    <w:name w:val="header"/>
    <w:basedOn w:val="Normal"/>
    <w:semiHidden/>
    <w:unhideWhenUsed/>
    <w:rsid w:val="00EC394E"/>
    <w:pPr>
      <w:tabs>
        <w:tab w:val="center" w:pos="4680"/>
        <w:tab w:val="right" w:pos="9360"/>
      </w:tabs>
      <w:spacing w:after="0" w:line="240" w:lineRule="auto"/>
    </w:pPr>
  </w:style>
  <w:style w:type="character" w:customStyle="1" w:styleId="HeaderChar">
    <w:name w:val="Header Char"/>
    <w:basedOn w:val="DefaultParagraphFont"/>
    <w:rsid w:val="00EC394E"/>
  </w:style>
  <w:style w:type="paragraph" w:styleId="Footer">
    <w:name w:val="footer"/>
    <w:basedOn w:val="Normal"/>
    <w:semiHidden/>
    <w:unhideWhenUsed/>
    <w:rsid w:val="00EC394E"/>
    <w:pPr>
      <w:tabs>
        <w:tab w:val="center" w:pos="4680"/>
        <w:tab w:val="right" w:pos="9360"/>
      </w:tabs>
      <w:spacing w:after="0" w:line="240" w:lineRule="auto"/>
    </w:pPr>
  </w:style>
  <w:style w:type="character" w:customStyle="1" w:styleId="FooterChar">
    <w:name w:val="Footer Char"/>
    <w:basedOn w:val="DefaultParagraphFont"/>
    <w:rsid w:val="00EC394E"/>
  </w:style>
  <w:style w:type="paragraph" w:styleId="Index7">
    <w:name w:val="index 7"/>
    <w:basedOn w:val="Normal"/>
    <w:autoRedefine/>
    <w:semiHidden/>
    <w:rsid w:val="00EC394E"/>
    <w:pPr>
      <w:spacing w:after="0" w:line="240" w:lineRule="atLeast"/>
      <w:ind w:left="2880" w:hanging="360"/>
    </w:pPr>
    <w:rPr>
      <w:rFonts w:ascii="Arial" w:eastAsia="Times New Roman" w:hAnsi="Arial" w:cs="Arial"/>
      <w:sz w:val="18"/>
      <w:szCs w:val="18"/>
    </w:rPr>
  </w:style>
  <w:style w:type="paragraph" w:customStyle="1" w:styleId="Default">
    <w:name w:val="Default"/>
    <w:rsid w:val="00EC394E"/>
    <w:pPr>
      <w:autoSpaceDE w:val="0"/>
      <w:autoSpaceDN w:val="0"/>
      <w:adjustRightInd w:val="0"/>
    </w:pPr>
    <w:rPr>
      <w:rFonts w:ascii="Garamond" w:hAnsi="Garamond" w:cs="Garamond"/>
      <w:color w:val="000000"/>
      <w:sz w:val="24"/>
      <w:szCs w:val="24"/>
    </w:rPr>
  </w:style>
  <w:style w:type="paragraph" w:styleId="BodyText3">
    <w:name w:val="Body Text 3"/>
    <w:basedOn w:val="Normal"/>
    <w:rsid w:val="00EC394E"/>
    <w:pPr>
      <w:spacing w:after="120" w:line="360" w:lineRule="auto"/>
      <w:jc w:val="both"/>
    </w:pPr>
    <w:rPr>
      <w:rFonts w:ascii="Arial" w:eastAsia="Times New Roman" w:hAnsi="Arial"/>
      <w:sz w:val="20"/>
      <w:szCs w:val="20"/>
    </w:rPr>
  </w:style>
  <w:style w:type="character" w:customStyle="1" w:styleId="BodyText3Char">
    <w:name w:val="Body Text 3 Char"/>
    <w:basedOn w:val="DefaultParagraphFont"/>
    <w:rsid w:val="00EC394E"/>
    <w:rPr>
      <w:rFonts w:ascii="Arial" w:eastAsia="Times New Roman" w:hAnsi="Arial" w:cs="Times New Roman"/>
      <w:sz w:val="20"/>
      <w:szCs w:val="20"/>
    </w:rPr>
  </w:style>
  <w:style w:type="character" w:customStyle="1" w:styleId="report6">
    <w:name w:val="report6"/>
    <w:basedOn w:val="DefaultParagraphFont"/>
    <w:rsid w:val="00EC394E"/>
  </w:style>
  <w:style w:type="paragraph" w:styleId="BalloonText">
    <w:name w:val="Balloon Text"/>
    <w:basedOn w:val="Normal"/>
    <w:semiHidden/>
    <w:unhideWhenUsed/>
    <w:rsid w:val="00EC394E"/>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EC394E"/>
    <w:rPr>
      <w:rFonts w:ascii="Tahoma" w:hAnsi="Tahoma" w:cs="Tahoma"/>
      <w:sz w:val="16"/>
      <w:szCs w:val="16"/>
    </w:rPr>
  </w:style>
  <w:style w:type="character" w:styleId="Hyperlink">
    <w:name w:val="Hyperlink"/>
    <w:basedOn w:val="DefaultParagraphFont"/>
    <w:uiPriority w:val="99"/>
    <w:unhideWhenUsed/>
    <w:rsid w:val="00422F34"/>
    <w:rPr>
      <w:color w:val="0000FF"/>
      <w:u w:val="single"/>
    </w:rPr>
  </w:style>
  <w:style w:type="character" w:styleId="FollowedHyperlink">
    <w:name w:val="FollowedHyperlink"/>
    <w:basedOn w:val="DefaultParagraphFont"/>
    <w:uiPriority w:val="99"/>
    <w:semiHidden/>
    <w:unhideWhenUsed/>
    <w:rsid w:val="00824EB9"/>
    <w:rPr>
      <w:color w:val="800080"/>
      <w:u w:val="single"/>
    </w:rPr>
  </w:style>
  <w:style w:type="character" w:customStyle="1" w:styleId="highlight">
    <w:name w:val="highlight"/>
    <w:basedOn w:val="DefaultParagraphFont"/>
    <w:rsid w:val="003408F4"/>
  </w:style>
  <w:style w:type="paragraph" w:styleId="FootnoteText">
    <w:name w:val="footnote text"/>
    <w:aliases w:val="TBG Style,Char1,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qFormat/>
    <w:rsid w:val="00205C39"/>
    <w:pPr>
      <w:spacing w:after="120" w:line="240" w:lineRule="auto"/>
    </w:pPr>
    <w:rPr>
      <w:rFonts w:ascii="Palatino Linotype" w:hAnsi="Palatino Linotype"/>
      <w:sz w:val="20"/>
      <w:szCs w:val="20"/>
    </w:rPr>
  </w:style>
  <w:style w:type="character" w:customStyle="1" w:styleId="FootnoteTextChar">
    <w:name w:val="Footnote Text Char"/>
    <w:aliases w:val="TBG Style Char,Char1 Char,Footnote Text Char2 Char Char,Footnote Text Char Char Char Char,Footnote Text Char2 Char Char Char Char,Footnote Text Char Char Char Char Char Char,Footnote Text Char2 Char Char Char Char1 Char Char,fn Char"/>
    <w:basedOn w:val="DefaultParagraphFont"/>
    <w:link w:val="FootnoteText"/>
    <w:uiPriority w:val="99"/>
    <w:rsid w:val="00205C39"/>
    <w:rPr>
      <w:rFonts w:ascii="Palatino Linotype" w:hAnsi="Palatino Linotype"/>
    </w:rPr>
  </w:style>
  <w:style w:type="character" w:styleId="FootnoteReference">
    <w:name w:val="footnote reference"/>
    <w:aliases w:val="o,o + Times New Roman"/>
    <w:basedOn w:val="DefaultParagraphFont"/>
    <w:uiPriority w:val="99"/>
    <w:qFormat/>
    <w:rsid w:val="00205C39"/>
    <w:rPr>
      <w:vertAlign w:val="superscript"/>
    </w:rPr>
  </w:style>
  <w:style w:type="paragraph" w:customStyle="1" w:styleId="standard">
    <w:name w:val="standard"/>
    <w:basedOn w:val="Normal"/>
    <w:link w:val="standardChar"/>
    <w:rsid w:val="00D4675E"/>
    <w:pPr>
      <w:spacing w:after="0" w:line="360" w:lineRule="auto"/>
      <w:ind w:firstLine="720"/>
    </w:pPr>
    <w:rPr>
      <w:rFonts w:ascii="Palatino" w:eastAsia="Times New Roman" w:hAnsi="Palatino"/>
      <w:sz w:val="26"/>
      <w:szCs w:val="20"/>
    </w:rPr>
  </w:style>
  <w:style w:type="character" w:customStyle="1" w:styleId="standardChar">
    <w:name w:val="standard Char"/>
    <w:link w:val="standard"/>
    <w:rsid w:val="00D4675E"/>
    <w:rPr>
      <w:rFonts w:ascii="Palatino" w:eastAsia="Times New Roman" w:hAnsi="Palatino"/>
      <w:sz w:val="26"/>
    </w:rPr>
  </w:style>
  <w:style w:type="character" w:styleId="CommentReference">
    <w:name w:val="annotation reference"/>
    <w:basedOn w:val="DefaultParagraphFont"/>
    <w:uiPriority w:val="99"/>
    <w:semiHidden/>
    <w:unhideWhenUsed/>
    <w:rsid w:val="00FA0610"/>
    <w:rPr>
      <w:sz w:val="18"/>
      <w:szCs w:val="18"/>
    </w:rPr>
  </w:style>
  <w:style w:type="paragraph" w:styleId="CommentText">
    <w:name w:val="annotation text"/>
    <w:basedOn w:val="Normal"/>
    <w:link w:val="CommentTextChar"/>
    <w:uiPriority w:val="99"/>
    <w:semiHidden/>
    <w:unhideWhenUsed/>
    <w:rsid w:val="00FA0610"/>
    <w:pPr>
      <w:spacing w:line="240" w:lineRule="auto"/>
    </w:pPr>
    <w:rPr>
      <w:sz w:val="24"/>
      <w:szCs w:val="24"/>
    </w:rPr>
  </w:style>
  <w:style w:type="character" w:customStyle="1" w:styleId="CommentTextChar">
    <w:name w:val="Comment Text Char"/>
    <w:basedOn w:val="DefaultParagraphFont"/>
    <w:link w:val="CommentText"/>
    <w:uiPriority w:val="99"/>
    <w:semiHidden/>
    <w:rsid w:val="00FA0610"/>
    <w:rPr>
      <w:sz w:val="24"/>
      <w:szCs w:val="24"/>
    </w:rPr>
  </w:style>
  <w:style w:type="paragraph" w:styleId="CommentSubject">
    <w:name w:val="annotation subject"/>
    <w:basedOn w:val="CommentText"/>
    <w:next w:val="CommentText"/>
    <w:link w:val="CommentSubjectChar"/>
    <w:uiPriority w:val="99"/>
    <w:semiHidden/>
    <w:unhideWhenUsed/>
    <w:rsid w:val="00FA0610"/>
    <w:rPr>
      <w:b/>
      <w:bCs/>
      <w:sz w:val="20"/>
      <w:szCs w:val="20"/>
    </w:rPr>
  </w:style>
  <w:style w:type="character" w:customStyle="1" w:styleId="CommentSubjectChar">
    <w:name w:val="Comment Subject Char"/>
    <w:basedOn w:val="CommentTextChar"/>
    <w:link w:val="CommentSubject"/>
    <w:uiPriority w:val="99"/>
    <w:semiHidden/>
    <w:rsid w:val="00FA0610"/>
    <w:rPr>
      <w:b/>
      <w:bCs/>
      <w:sz w:val="24"/>
      <w:szCs w:val="24"/>
    </w:rPr>
  </w:style>
  <w:style w:type="paragraph" w:styleId="Revision">
    <w:name w:val="Revision"/>
    <w:hidden/>
    <w:uiPriority w:val="99"/>
    <w:semiHidden/>
    <w:rsid w:val="001218C0"/>
    <w:rPr>
      <w:sz w:val="22"/>
      <w:szCs w:val="22"/>
    </w:rPr>
  </w:style>
  <w:style w:type="paragraph" w:styleId="NormalWeb">
    <w:name w:val="Normal (Web)"/>
    <w:basedOn w:val="Normal"/>
    <w:uiPriority w:val="99"/>
    <w:semiHidden/>
    <w:unhideWhenUsed/>
    <w:rsid w:val="0094022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4E"/>
    <w:pPr>
      <w:ind w:left="720"/>
      <w:contextualSpacing/>
    </w:pPr>
  </w:style>
  <w:style w:type="paragraph" w:styleId="Title">
    <w:name w:val="Title"/>
    <w:basedOn w:val="Normal"/>
    <w:qFormat/>
    <w:rsid w:val="00EC394E"/>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rsid w:val="00EC394E"/>
    <w:rPr>
      <w:rFonts w:ascii="Arial" w:eastAsia="Times New Roman" w:hAnsi="Arial" w:cs="Arial"/>
      <w:b/>
      <w:bCs/>
      <w:sz w:val="20"/>
      <w:szCs w:val="20"/>
    </w:rPr>
  </w:style>
  <w:style w:type="paragraph" w:styleId="Header">
    <w:name w:val="header"/>
    <w:basedOn w:val="Normal"/>
    <w:semiHidden/>
    <w:unhideWhenUsed/>
    <w:rsid w:val="00EC394E"/>
    <w:pPr>
      <w:tabs>
        <w:tab w:val="center" w:pos="4680"/>
        <w:tab w:val="right" w:pos="9360"/>
      </w:tabs>
      <w:spacing w:after="0" w:line="240" w:lineRule="auto"/>
    </w:pPr>
  </w:style>
  <w:style w:type="character" w:customStyle="1" w:styleId="HeaderChar">
    <w:name w:val="Header Char"/>
    <w:basedOn w:val="DefaultParagraphFont"/>
    <w:rsid w:val="00EC394E"/>
  </w:style>
  <w:style w:type="paragraph" w:styleId="Footer">
    <w:name w:val="footer"/>
    <w:basedOn w:val="Normal"/>
    <w:semiHidden/>
    <w:unhideWhenUsed/>
    <w:rsid w:val="00EC394E"/>
    <w:pPr>
      <w:tabs>
        <w:tab w:val="center" w:pos="4680"/>
        <w:tab w:val="right" w:pos="9360"/>
      </w:tabs>
      <w:spacing w:after="0" w:line="240" w:lineRule="auto"/>
    </w:pPr>
  </w:style>
  <w:style w:type="character" w:customStyle="1" w:styleId="FooterChar">
    <w:name w:val="Footer Char"/>
    <w:basedOn w:val="DefaultParagraphFont"/>
    <w:rsid w:val="00EC394E"/>
  </w:style>
  <w:style w:type="paragraph" w:styleId="Index7">
    <w:name w:val="index 7"/>
    <w:basedOn w:val="Normal"/>
    <w:autoRedefine/>
    <w:semiHidden/>
    <w:rsid w:val="00EC394E"/>
    <w:pPr>
      <w:spacing w:after="0" w:line="240" w:lineRule="atLeast"/>
      <w:ind w:left="2880" w:hanging="360"/>
    </w:pPr>
    <w:rPr>
      <w:rFonts w:ascii="Arial" w:eastAsia="Times New Roman" w:hAnsi="Arial" w:cs="Arial"/>
      <w:sz w:val="18"/>
      <w:szCs w:val="18"/>
    </w:rPr>
  </w:style>
  <w:style w:type="paragraph" w:customStyle="1" w:styleId="Default">
    <w:name w:val="Default"/>
    <w:rsid w:val="00EC394E"/>
    <w:pPr>
      <w:autoSpaceDE w:val="0"/>
      <w:autoSpaceDN w:val="0"/>
      <w:adjustRightInd w:val="0"/>
    </w:pPr>
    <w:rPr>
      <w:rFonts w:ascii="Garamond" w:hAnsi="Garamond" w:cs="Garamond"/>
      <w:color w:val="000000"/>
      <w:sz w:val="24"/>
      <w:szCs w:val="24"/>
    </w:rPr>
  </w:style>
  <w:style w:type="paragraph" w:styleId="BodyText3">
    <w:name w:val="Body Text 3"/>
    <w:basedOn w:val="Normal"/>
    <w:rsid w:val="00EC394E"/>
    <w:pPr>
      <w:spacing w:after="120" w:line="360" w:lineRule="auto"/>
      <w:jc w:val="both"/>
    </w:pPr>
    <w:rPr>
      <w:rFonts w:ascii="Arial" w:eastAsia="Times New Roman" w:hAnsi="Arial"/>
      <w:sz w:val="20"/>
      <w:szCs w:val="20"/>
    </w:rPr>
  </w:style>
  <w:style w:type="character" w:customStyle="1" w:styleId="BodyText3Char">
    <w:name w:val="Body Text 3 Char"/>
    <w:basedOn w:val="DefaultParagraphFont"/>
    <w:rsid w:val="00EC394E"/>
    <w:rPr>
      <w:rFonts w:ascii="Arial" w:eastAsia="Times New Roman" w:hAnsi="Arial" w:cs="Times New Roman"/>
      <w:sz w:val="20"/>
      <w:szCs w:val="20"/>
    </w:rPr>
  </w:style>
  <w:style w:type="character" w:customStyle="1" w:styleId="report6">
    <w:name w:val="report6"/>
    <w:basedOn w:val="DefaultParagraphFont"/>
    <w:rsid w:val="00EC394E"/>
  </w:style>
  <w:style w:type="paragraph" w:styleId="BalloonText">
    <w:name w:val="Balloon Text"/>
    <w:basedOn w:val="Normal"/>
    <w:semiHidden/>
    <w:unhideWhenUsed/>
    <w:rsid w:val="00EC394E"/>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EC394E"/>
    <w:rPr>
      <w:rFonts w:ascii="Tahoma" w:hAnsi="Tahoma" w:cs="Tahoma"/>
      <w:sz w:val="16"/>
      <w:szCs w:val="16"/>
    </w:rPr>
  </w:style>
  <w:style w:type="character" w:styleId="Hyperlink">
    <w:name w:val="Hyperlink"/>
    <w:basedOn w:val="DefaultParagraphFont"/>
    <w:uiPriority w:val="99"/>
    <w:unhideWhenUsed/>
    <w:rsid w:val="00422F34"/>
    <w:rPr>
      <w:color w:val="0000FF"/>
      <w:u w:val="single"/>
    </w:rPr>
  </w:style>
  <w:style w:type="character" w:styleId="FollowedHyperlink">
    <w:name w:val="FollowedHyperlink"/>
    <w:basedOn w:val="DefaultParagraphFont"/>
    <w:uiPriority w:val="99"/>
    <w:semiHidden/>
    <w:unhideWhenUsed/>
    <w:rsid w:val="00824EB9"/>
    <w:rPr>
      <w:color w:val="800080"/>
      <w:u w:val="single"/>
    </w:rPr>
  </w:style>
  <w:style w:type="character" w:customStyle="1" w:styleId="highlight">
    <w:name w:val="highlight"/>
    <w:basedOn w:val="DefaultParagraphFont"/>
    <w:rsid w:val="003408F4"/>
  </w:style>
  <w:style w:type="paragraph" w:styleId="FootnoteText">
    <w:name w:val="footnote text"/>
    <w:aliases w:val="TBG Style,Char1,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qFormat/>
    <w:rsid w:val="00205C39"/>
    <w:pPr>
      <w:spacing w:after="120" w:line="240" w:lineRule="auto"/>
    </w:pPr>
    <w:rPr>
      <w:rFonts w:ascii="Palatino Linotype" w:hAnsi="Palatino Linotype"/>
      <w:sz w:val="20"/>
      <w:szCs w:val="20"/>
    </w:rPr>
  </w:style>
  <w:style w:type="character" w:customStyle="1" w:styleId="FootnoteTextChar">
    <w:name w:val="Footnote Text Char"/>
    <w:aliases w:val="TBG Style Char,Char1 Char,Footnote Text Char2 Char Char,Footnote Text Char Char Char Char,Footnote Text Char2 Char Char Char Char,Footnote Text Char Char Char Char Char Char,Footnote Text Char2 Char Char Char Char1 Char Char,fn Char"/>
    <w:basedOn w:val="DefaultParagraphFont"/>
    <w:link w:val="FootnoteText"/>
    <w:uiPriority w:val="99"/>
    <w:rsid w:val="00205C39"/>
    <w:rPr>
      <w:rFonts w:ascii="Palatino Linotype" w:hAnsi="Palatino Linotype"/>
    </w:rPr>
  </w:style>
  <w:style w:type="character" w:styleId="FootnoteReference">
    <w:name w:val="footnote reference"/>
    <w:aliases w:val="o,o + Times New Roman"/>
    <w:basedOn w:val="DefaultParagraphFont"/>
    <w:uiPriority w:val="99"/>
    <w:qFormat/>
    <w:rsid w:val="00205C39"/>
    <w:rPr>
      <w:vertAlign w:val="superscript"/>
    </w:rPr>
  </w:style>
  <w:style w:type="paragraph" w:customStyle="1" w:styleId="standard">
    <w:name w:val="standard"/>
    <w:basedOn w:val="Normal"/>
    <w:link w:val="standardChar"/>
    <w:rsid w:val="00D4675E"/>
    <w:pPr>
      <w:spacing w:after="0" w:line="360" w:lineRule="auto"/>
      <w:ind w:firstLine="720"/>
    </w:pPr>
    <w:rPr>
      <w:rFonts w:ascii="Palatino" w:eastAsia="Times New Roman" w:hAnsi="Palatino"/>
      <w:sz w:val="26"/>
      <w:szCs w:val="20"/>
    </w:rPr>
  </w:style>
  <w:style w:type="character" w:customStyle="1" w:styleId="standardChar">
    <w:name w:val="standard Char"/>
    <w:link w:val="standard"/>
    <w:rsid w:val="00D4675E"/>
    <w:rPr>
      <w:rFonts w:ascii="Palatino" w:eastAsia="Times New Roman" w:hAnsi="Palatino"/>
      <w:sz w:val="26"/>
    </w:rPr>
  </w:style>
  <w:style w:type="character" w:styleId="CommentReference">
    <w:name w:val="annotation reference"/>
    <w:basedOn w:val="DefaultParagraphFont"/>
    <w:uiPriority w:val="99"/>
    <w:semiHidden/>
    <w:unhideWhenUsed/>
    <w:rsid w:val="00FA0610"/>
    <w:rPr>
      <w:sz w:val="18"/>
      <w:szCs w:val="18"/>
    </w:rPr>
  </w:style>
  <w:style w:type="paragraph" w:styleId="CommentText">
    <w:name w:val="annotation text"/>
    <w:basedOn w:val="Normal"/>
    <w:link w:val="CommentTextChar"/>
    <w:uiPriority w:val="99"/>
    <w:semiHidden/>
    <w:unhideWhenUsed/>
    <w:rsid w:val="00FA0610"/>
    <w:pPr>
      <w:spacing w:line="240" w:lineRule="auto"/>
    </w:pPr>
    <w:rPr>
      <w:sz w:val="24"/>
      <w:szCs w:val="24"/>
    </w:rPr>
  </w:style>
  <w:style w:type="character" w:customStyle="1" w:styleId="CommentTextChar">
    <w:name w:val="Comment Text Char"/>
    <w:basedOn w:val="DefaultParagraphFont"/>
    <w:link w:val="CommentText"/>
    <w:uiPriority w:val="99"/>
    <w:semiHidden/>
    <w:rsid w:val="00FA0610"/>
    <w:rPr>
      <w:sz w:val="24"/>
      <w:szCs w:val="24"/>
    </w:rPr>
  </w:style>
  <w:style w:type="paragraph" w:styleId="CommentSubject">
    <w:name w:val="annotation subject"/>
    <w:basedOn w:val="CommentText"/>
    <w:next w:val="CommentText"/>
    <w:link w:val="CommentSubjectChar"/>
    <w:uiPriority w:val="99"/>
    <w:semiHidden/>
    <w:unhideWhenUsed/>
    <w:rsid w:val="00FA0610"/>
    <w:rPr>
      <w:b/>
      <w:bCs/>
      <w:sz w:val="20"/>
      <w:szCs w:val="20"/>
    </w:rPr>
  </w:style>
  <w:style w:type="character" w:customStyle="1" w:styleId="CommentSubjectChar">
    <w:name w:val="Comment Subject Char"/>
    <w:basedOn w:val="CommentTextChar"/>
    <w:link w:val="CommentSubject"/>
    <w:uiPriority w:val="99"/>
    <w:semiHidden/>
    <w:rsid w:val="00FA0610"/>
    <w:rPr>
      <w:b/>
      <w:bCs/>
      <w:sz w:val="24"/>
      <w:szCs w:val="24"/>
    </w:rPr>
  </w:style>
  <w:style w:type="paragraph" w:styleId="Revision">
    <w:name w:val="Revision"/>
    <w:hidden/>
    <w:uiPriority w:val="99"/>
    <w:semiHidden/>
    <w:rsid w:val="001218C0"/>
    <w:rPr>
      <w:sz w:val="22"/>
      <w:szCs w:val="22"/>
    </w:rPr>
  </w:style>
  <w:style w:type="paragraph" w:styleId="NormalWeb">
    <w:name w:val="Normal (Web)"/>
    <w:basedOn w:val="Normal"/>
    <w:uiPriority w:val="99"/>
    <w:semiHidden/>
    <w:unhideWhenUsed/>
    <w:rsid w:val="0094022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8875">
      <w:bodyDiv w:val="1"/>
      <w:marLeft w:val="0"/>
      <w:marRight w:val="0"/>
      <w:marTop w:val="0"/>
      <w:marBottom w:val="0"/>
      <w:divBdr>
        <w:top w:val="none" w:sz="0" w:space="0" w:color="auto"/>
        <w:left w:val="none" w:sz="0" w:space="0" w:color="auto"/>
        <w:bottom w:val="none" w:sz="0" w:space="0" w:color="auto"/>
        <w:right w:val="none" w:sz="0" w:space="0" w:color="auto"/>
      </w:divBdr>
      <w:divsChild>
        <w:div w:id="38168828">
          <w:marLeft w:val="547"/>
          <w:marRight w:val="0"/>
          <w:marTop w:val="86"/>
          <w:marBottom w:val="0"/>
          <w:divBdr>
            <w:top w:val="none" w:sz="0" w:space="0" w:color="auto"/>
            <w:left w:val="none" w:sz="0" w:space="0" w:color="auto"/>
            <w:bottom w:val="none" w:sz="0" w:space="0" w:color="auto"/>
            <w:right w:val="none" w:sz="0" w:space="0" w:color="auto"/>
          </w:divBdr>
        </w:div>
        <w:div w:id="811025224">
          <w:marLeft w:val="547"/>
          <w:marRight w:val="0"/>
          <w:marTop w:val="86"/>
          <w:marBottom w:val="0"/>
          <w:divBdr>
            <w:top w:val="none" w:sz="0" w:space="0" w:color="auto"/>
            <w:left w:val="none" w:sz="0" w:space="0" w:color="auto"/>
            <w:bottom w:val="none" w:sz="0" w:space="0" w:color="auto"/>
            <w:right w:val="none" w:sz="0" w:space="0" w:color="auto"/>
          </w:divBdr>
        </w:div>
        <w:div w:id="1072967394">
          <w:marLeft w:val="1166"/>
          <w:marRight w:val="0"/>
          <w:marTop w:val="77"/>
          <w:marBottom w:val="0"/>
          <w:divBdr>
            <w:top w:val="none" w:sz="0" w:space="0" w:color="auto"/>
            <w:left w:val="none" w:sz="0" w:space="0" w:color="auto"/>
            <w:bottom w:val="none" w:sz="0" w:space="0" w:color="auto"/>
            <w:right w:val="none" w:sz="0" w:space="0" w:color="auto"/>
          </w:divBdr>
        </w:div>
        <w:div w:id="749304487">
          <w:marLeft w:val="1166"/>
          <w:marRight w:val="0"/>
          <w:marTop w:val="77"/>
          <w:marBottom w:val="0"/>
          <w:divBdr>
            <w:top w:val="none" w:sz="0" w:space="0" w:color="auto"/>
            <w:left w:val="none" w:sz="0" w:space="0" w:color="auto"/>
            <w:bottom w:val="none" w:sz="0" w:space="0" w:color="auto"/>
            <w:right w:val="none" w:sz="0" w:space="0" w:color="auto"/>
          </w:divBdr>
        </w:div>
        <w:div w:id="320812913">
          <w:marLeft w:val="1166"/>
          <w:marRight w:val="0"/>
          <w:marTop w:val="77"/>
          <w:marBottom w:val="0"/>
          <w:divBdr>
            <w:top w:val="none" w:sz="0" w:space="0" w:color="auto"/>
            <w:left w:val="none" w:sz="0" w:space="0" w:color="auto"/>
            <w:bottom w:val="none" w:sz="0" w:space="0" w:color="auto"/>
            <w:right w:val="none" w:sz="0" w:space="0" w:color="auto"/>
          </w:divBdr>
        </w:div>
        <w:div w:id="157117952">
          <w:marLeft w:val="547"/>
          <w:marRight w:val="0"/>
          <w:marTop w:val="86"/>
          <w:marBottom w:val="0"/>
          <w:divBdr>
            <w:top w:val="none" w:sz="0" w:space="0" w:color="auto"/>
            <w:left w:val="none" w:sz="0" w:space="0" w:color="auto"/>
            <w:bottom w:val="none" w:sz="0" w:space="0" w:color="auto"/>
            <w:right w:val="none" w:sz="0" w:space="0" w:color="auto"/>
          </w:divBdr>
        </w:div>
        <w:div w:id="813642328">
          <w:marLeft w:val="547"/>
          <w:marRight w:val="0"/>
          <w:marTop w:val="86"/>
          <w:marBottom w:val="0"/>
          <w:divBdr>
            <w:top w:val="none" w:sz="0" w:space="0" w:color="auto"/>
            <w:left w:val="none" w:sz="0" w:space="0" w:color="auto"/>
            <w:bottom w:val="none" w:sz="0" w:space="0" w:color="auto"/>
            <w:right w:val="none" w:sz="0" w:space="0" w:color="auto"/>
          </w:divBdr>
        </w:div>
        <w:div w:id="24209329">
          <w:marLeft w:val="547"/>
          <w:marRight w:val="0"/>
          <w:marTop w:val="86"/>
          <w:marBottom w:val="0"/>
          <w:divBdr>
            <w:top w:val="none" w:sz="0" w:space="0" w:color="auto"/>
            <w:left w:val="none" w:sz="0" w:space="0" w:color="auto"/>
            <w:bottom w:val="none" w:sz="0" w:space="0" w:color="auto"/>
            <w:right w:val="none" w:sz="0" w:space="0" w:color="auto"/>
          </w:divBdr>
        </w:div>
      </w:divsChild>
    </w:div>
    <w:div w:id="413745693">
      <w:bodyDiv w:val="1"/>
      <w:marLeft w:val="0"/>
      <w:marRight w:val="0"/>
      <w:marTop w:val="0"/>
      <w:marBottom w:val="0"/>
      <w:divBdr>
        <w:top w:val="none" w:sz="0" w:space="0" w:color="auto"/>
        <w:left w:val="none" w:sz="0" w:space="0" w:color="auto"/>
        <w:bottom w:val="none" w:sz="0" w:space="0" w:color="auto"/>
        <w:right w:val="none" w:sz="0" w:space="0" w:color="auto"/>
      </w:divBdr>
      <w:divsChild>
        <w:div w:id="810709689">
          <w:marLeft w:val="720"/>
          <w:marRight w:val="0"/>
          <w:marTop w:val="96"/>
          <w:marBottom w:val="0"/>
          <w:divBdr>
            <w:top w:val="none" w:sz="0" w:space="0" w:color="auto"/>
            <w:left w:val="none" w:sz="0" w:space="0" w:color="auto"/>
            <w:bottom w:val="none" w:sz="0" w:space="0" w:color="auto"/>
            <w:right w:val="none" w:sz="0" w:space="0" w:color="auto"/>
          </w:divBdr>
        </w:div>
        <w:div w:id="1151480118">
          <w:marLeft w:val="720"/>
          <w:marRight w:val="0"/>
          <w:marTop w:val="96"/>
          <w:marBottom w:val="0"/>
          <w:divBdr>
            <w:top w:val="none" w:sz="0" w:space="0" w:color="auto"/>
            <w:left w:val="none" w:sz="0" w:space="0" w:color="auto"/>
            <w:bottom w:val="none" w:sz="0" w:space="0" w:color="auto"/>
            <w:right w:val="none" w:sz="0" w:space="0" w:color="auto"/>
          </w:divBdr>
        </w:div>
        <w:div w:id="1778210371">
          <w:marLeft w:val="720"/>
          <w:marRight w:val="0"/>
          <w:marTop w:val="96"/>
          <w:marBottom w:val="0"/>
          <w:divBdr>
            <w:top w:val="none" w:sz="0" w:space="0" w:color="auto"/>
            <w:left w:val="none" w:sz="0" w:space="0" w:color="auto"/>
            <w:bottom w:val="none" w:sz="0" w:space="0" w:color="auto"/>
            <w:right w:val="none" w:sz="0" w:space="0" w:color="auto"/>
          </w:divBdr>
        </w:div>
        <w:div w:id="2001300275">
          <w:marLeft w:val="720"/>
          <w:marRight w:val="0"/>
          <w:marTop w:val="96"/>
          <w:marBottom w:val="0"/>
          <w:divBdr>
            <w:top w:val="none" w:sz="0" w:space="0" w:color="auto"/>
            <w:left w:val="none" w:sz="0" w:space="0" w:color="auto"/>
            <w:bottom w:val="none" w:sz="0" w:space="0" w:color="auto"/>
            <w:right w:val="none" w:sz="0" w:space="0" w:color="auto"/>
          </w:divBdr>
        </w:div>
      </w:divsChild>
    </w:div>
    <w:div w:id="552232373">
      <w:bodyDiv w:val="1"/>
      <w:marLeft w:val="0"/>
      <w:marRight w:val="0"/>
      <w:marTop w:val="0"/>
      <w:marBottom w:val="0"/>
      <w:divBdr>
        <w:top w:val="none" w:sz="0" w:space="0" w:color="auto"/>
        <w:left w:val="none" w:sz="0" w:space="0" w:color="auto"/>
        <w:bottom w:val="none" w:sz="0" w:space="0" w:color="auto"/>
        <w:right w:val="none" w:sz="0" w:space="0" w:color="auto"/>
      </w:divBdr>
      <w:divsChild>
        <w:div w:id="1209417721">
          <w:marLeft w:val="720"/>
          <w:marRight w:val="0"/>
          <w:marTop w:val="96"/>
          <w:marBottom w:val="0"/>
          <w:divBdr>
            <w:top w:val="none" w:sz="0" w:space="0" w:color="auto"/>
            <w:left w:val="none" w:sz="0" w:space="0" w:color="auto"/>
            <w:bottom w:val="none" w:sz="0" w:space="0" w:color="auto"/>
            <w:right w:val="none" w:sz="0" w:space="0" w:color="auto"/>
          </w:divBdr>
        </w:div>
        <w:div w:id="1223758416">
          <w:marLeft w:val="720"/>
          <w:marRight w:val="0"/>
          <w:marTop w:val="96"/>
          <w:marBottom w:val="0"/>
          <w:divBdr>
            <w:top w:val="none" w:sz="0" w:space="0" w:color="auto"/>
            <w:left w:val="none" w:sz="0" w:space="0" w:color="auto"/>
            <w:bottom w:val="none" w:sz="0" w:space="0" w:color="auto"/>
            <w:right w:val="none" w:sz="0" w:space="0" w:color="auto"/>
          </w:divBdr>
        </w:div>
        <w:div w:id="440151891">
          <w:marLeft w:val="720"/>
          <w:marRight w:val="0"/>
          <w:marTop w:val="96"/>
          <w:marBottom w:val="0"/>
          <w:divBdr>
            <w:top w:val="none" w:sz="0" w:space="0" w:color="auto"/>
            <w:left w:val="none" w:sz="0" w:space="0" w:color="auto"/>
            <w:bottom w:val="none" w:sz="0" w:space="0" w:color="auto"/>
            <w:right w:val="none" w:sz="0" w:space="0" w:color="auto"/>
          </w:divBdr>
        </w:div>
        <w:div w:id="461197623">
          <w:marLeft w:val="720"/>
          <w:marRight w:val="0"/>
          <w:marTop w:val="96"/>
          <w:marBottom w:val="0"/>
          <w:divBdr>
            <w:top w:val="none" w:sz="0" w:space="0" w:color="auto"/>
            <w:left w:val="none" w:sz="0" w:space="0" w:color="auto"/>
            <w:bottom w:val="none" w:sz="0" w:space="0" w:color="auto"/>
            <w:right w:val="none" w:sz="0" w:space="0" w:color="auto"/>
          </w:divBdr>
        </w:div>
        <w:div w:id="1552036194">
          <w:marLeft w:val="720"/>
          <w:marRight w:val="0"/>
          <w:marTop w:val="96"/>
          <w:marBottom w:val="0"/>
          <w:divBdr>
            <w:top w:val="none" w:sz="0" w:space="0" w:color="auto"/>
            <w:left w:val="none" w:sz="0" w:space="0" w:color="auto"/>
            <w:bottom w:val="none" w:sz="0" w:space="0" w:color="auto"/>
            <w:right w:val="none" w:sz="0" w:space="0" w:color="auto"/>
          </w:divBdr>
        </w:div>
      </w:divsChild>
    </w:div>
    <w:div w:id="655231562">
      <w:bodyDiv w:val="1"/>
      <w:marLeft w:val="0"/>
      <w:marRight w:val="0"/>
      <w:marTop w:val="0"/>
      <w:marBottom w:val="0"/>
      <w:divBdr>
        <w:top w:val="none" w:sz="0" w:space="0" w:color="auto"/>
        <w:left w:val="none" w:sz="0" w:space="0" w:color="auto"/>
        <w:bottom w:val="none" w:sz="0" w:space="0" w:color="auto"/>
        <w:right w:val="none" w:sz="0" w:space="0" w:color="auto"/>
      </w:divBdr>
      <w:divsChild>
        <w:div w:id="1279726681">
          <w:marLeft w:val="720"/>
          <w:marRight w:val="0"/>
          <w:marTop w:val="96"/>
          <w:marBottom w:val="0"/>
          <w:divBdr>
            <w:top w:val="none" w:sz="0" w:space="0" w:color="auto"/>
            <w:left w:val="none" w:sz="0" w:space="0" w:color="auto"/>
            <w:bottom w:val="none" w:sz="0" w:space="0" w:color="auto"/>
            <w:right w:val="none" w:sz="0" w:space="0" w:color="auto"/>
          </w:divBdr>
        </w:div>
        <w:div w:id="787432559">
          <w:marLeft w:val="1354"/>
          <w:marRight w:val="0"/>
          <w:marTop w:val="77"/>
          <w:marBottom w:val="0"/>
          <w:divBdr>
            <w:top w:val="none" w:sz="0" w:space="0" w:color="auto"/>
            <w:left w:val="none" w:sz="0" w:space="0" w:color="auto"/>
            <w:bottom w:val="none" w:sz="0" w:space="0" w:color="auto"/>
            <w:right w:val="none" w:sz="0" w:space="0" w:color="auto"/>
          </w:divBdr>
        </w:div>
        <w:div w:id="2015495932">
          <w:marLeft w:val="1354"/>
          <w:marRight w:val="0"/>
          <w:marTop w:val="77"/>
          <w:marBottom w:val="0"/>
          <w:divBdr>
            <w:top w:val="none" w:sz="0" w:space="0" w:color="auto"/>
            <w:left w:val="none" w:sz="0" w:space="0" w:color="auto"/>
            <w:bottom w:val="none" w:sz="0" w:space="0" w:color="auto"/>
            <w:right w:val="none" w:sz="0" w:space="0" w:color="auto"/>
          </w:divBdr>
        </w:div>
        <w:div w:id="1850634524">
          <w:marLeft w:val="1354"/>
          <w:marRight w:val="0"/>
          <w:marTop w:val="77"/>
          <w:marBottom w:val="0"/>
          <w:divBdr>
            <w:top w:val="none" w:sz="0" w:space="0" w:color="auto"/>
            <w:left w:val="none" w:sz="0" w:space="0" w:color="auto"/>
            <w:bottom w:val="none" w:sz="0" w:space="0" w:color="auto"/>
            <w:right w:val="none" w:sz="0" w:space="0" w:color="auto"/>
          </w:divBdr>
        </w:div>
        <w:div w:id="1873616768">
          <w:marLeft w:val="720"/>
          <w:marRight w:val="0"/>
          <w:marTop w:val="96"/>
          <w:marBottom w:val="0"/>
          <w:divBdr>
            <w:top w:val="none" w:sz="0" w:space="0" w:color="auto"/>
            <w:left w:val="none" w:sz="0" w:space="0" w:color="auto"/>
            <w:bottom w:val="none" w:sz="0" w:space="0" w:color="auto"/>
            <w:right w:val="none" w:sz="0" w:space="0" w:color="auto"/>
          </w:divBdr>
        </w:div>
        <w:div w:id="120735660">
          <w:marLeft w:val="720"/>
          <w:marRight w:val="0"/>
          <w:marTop w:val="96"/>
          <w:marBottom w:val="0"/>
          <w:divBdr>
            <w:top w:val="none" w:sz="0" w:space="0" w:color="auto"/>
            <w:left w:val="none" w:sz="0" w:space="0" w:color="auto"/>
            <w:bottom w:val="none" w:sz="0" w:space="0" w:color="auto"/>
            <w:right w:val="none" w:sz="0" w:space="0" w:color="auto"/>
          </w:divBdr>
        </w:div>
      </w:divsChild>
    </w:div>
    <w:div w:id="914826631">
      <w:bodyDiv w:val="1"/>
      <w:marLeft w:val="0"/>
      <w:marRight w:val="0"/>
      <w:marTop w:val="0"/>
      <w:marBottom w:val="0"/>
      <w:divBdr>
        <w:top w:val="none" w:sz="0" w:space="0" w:color="auto"/>
        <w:left w:val="none" w:sz="0" w:space="0" w:color="auto"/>
        <w:bottom w:val="none" w:sz="0" w:space="0" w:color="auto"/>
        <w:right w:val="none" w:sz="0" w:space="0" w:color="auto"/>
      </w:divBdr>
      <w:divsChild>
        <w:div w:id="1607499544">
          <w:marLeft w:val="0"/>
          <w:marRight w:val="0"/>
          <w:marTop w:val="0"/>
          <w:marBottom w:val="0"/>
          <w:divBdr>
            <w:top w:val="none" w:sz="0" w:space="0" w:color="auto"/>
            <w:left w:val="none" w:sz="0" w:space="0" w:color="auto"/>
            <w:bottom w:val="none" w:sz="0" w:space="0" w:color="auto"/>
            <w:right w:val="none" w:sz="0" w:space="0" w:color="auto"/>
          </w:divBdr>
        </w:div>
        <w:div w:id="2082865730">
          <w:marLeft w:val="0"/>
          <w:marRight w:val="0"/>
          <w:marTop w:val="0"/>
          <w:marBottom w:val="0"/>
          <w:divBdr>
            <w:top w:val="none" w:sz="0" w:space="0" w:color="auto"/>
            <w:left w:val="none" w:sz="0" w:space="0" w:color="auto"/>
            <w:bottom w:val="none" w:sz="0" w:space="0" w:color="auto"/>
            <w:right w:val="none" w:sz="0" w:space="0" w:color="auto"/>
          </w:divBdr>
        </w:div>
        <w:div w:id="362099218">
          <w:marLeft w:val="0"/>
          <w:marRight w:val="0"/>
          <w:marTop w:val="0"/>
          <w:marBottom w:val="0"/>
          <w:divBdr>
            <w:top w:val="none" w:sz="0" w:space="0" w:color="auto"/>
            <w:left w:val="none" w:sz="0" w:space="0" w:color="auto"/>
            <w:bottom w:val="none" w:sz="0" w:space="0" w:color="auto"/>
            <w:right w:val="none" w:sz="0" w:space="0" w:color="auto"/>
          </w:divBdr>
        </w:div>
        <w:div w:id="1858108615">
          <w:marLeft w:val="0"/>
          <w:marRight w:val="0"/>
          <w:marTop w:val="0"/>
          <w:marBottom w:val="0"/>
          <w:divBdr>
            <w:top w:val="none" w:sz="0" w:space="0" w:color="auto"/>
            <w:left w:val="none" w:sz="0" w:space="0" w:color="auto"/>
            <w:bottom w:val="none" w:sz="0" w:space="0" w:color="auto"/>
            <w:right w:val="none" w:sz="0" w:space="0" w:color="auto"/>
          </w:divBdr>
        </w:div>
        <w:div w:id="21325641">
          <w:marLeft w:val="0"/>
          <w:marRight w:val="0"/>
          <w:marTop w:val="0"/>
          <w:marBottom w:val="0"/>
          <w:divBdr>
            <w:top w:val="none" w:sz="0" w:space="0" w:color="auto"/>
            <w:left w:val="none" w:sz="0" w:space="0" w:color="auto"/>
            <w:bottom w:val="none" w:sz="0" w:space="0" w:color="auto"/>
            <w:right w:val="none" w:sz="0" w:space="0" w:color="auto"/>
          </w:divBdr>
        </w:div>
        <w:div w:id="151529479">
          <w:marLeft w:val="0"/>
          <w:marRight w:val="0"/>
          <w:marTop w:val="0"/>
          <w:marBottom w:val="0"/>
          <w:divBdr>
            <w:top w:val="none" w:sz="0" w:space="0" w:color="auto"/>
            <w:left w:val="none" w:sz="0" w:space="0" w:color="auto"/>
            <w:bottom w:val="none" w:sz="0" w:space="0" w:color="auto"/>
            <w:right w:val="none" w:sz="0" w:space="0" w:color="auto"/>
          </w:divBdr>
        </w:div>
        <w:div w:id="657423161">
          <w:marLeft w:val="0"/>
          <w:marRight w:val="0"/>
          <w:marTop w:val="0"/>
          <w:marBottom w:val="0"/>
          <w:divBdr>
            <w:top w:val="none" w:sz="0" w:space="0" w:color="auto"/>
            <w:left w:val="none" w:sz="0" w:space="0" w:color="auto"/>
            <w:bottom w:val="none" w:sz="0" w:space="0" w:color="auto"/>
            <w:right w:val="none" w:sz="0" w:space="0" w:color="auto"/>
          </w:divBdr>
        </w:div>
        <w:div w:id="1445615866">
          <w:marLeft w:val="0"/>
          <w:marRight w:val="0"/>
          <w:marTop w:val="0"/>
          <w:marBottom w:val="0"/>
          <w:divBdr>
            <w:top w:val="none" w:sz="0" w:space="0" w:color="auto"/>
            <w:left w:val="none" w:sz="0" w:space="0" w:color="auto"/>
            <w:bottom w:val="none" w:sz="0" w:space="0" w:color="auto"/>
            <w:right w:val="none" w:sz="0" w:space="0" w:color="auto"/>
          </w:divBdr>
        </w:div>
        <w:div w:id="91751197">
          <w:marLeft w:val="0"/>
          <w:marRight w:val="0"/>
          <w:marTop w:val="0"/>
          <w:marBottom w:val="0"/>
          <w:divBdr>
            <w:top w:val="none" w:sz="0" w:space="0" w:color="auto"/>
            <w:left w:val="none" w:sz="0" w:space="0" w:color="auto"/>
            <w:bottom w:val="none" w:sz="0" w:space="0" w:color="auto"/>
            <w:right w:val="none" w:sz="0" w:space="0" w:color="auto"/>
          </w:divBdr>
        </w:div>
        <w:div w:id="2131195904">
          <w:marLeft w:val="0"/>
          <w:marRight w:val="0"/>
          <w:marTop w:val="0"/>
          <w:marBottom w:val="0"/>
          <w:divBdr>
            <w:top w:val="none" w:sz="0" w:space="0" w:color="auto"/>
            <w:left w:val="none" w:sz="0" w:space="0" w:color="auto"/>
            <w:bottom w:val="none" w:sz="0" w:space="0" w:color="auto"/>
            <w:right w:val="none" w:sz="0" w:space="0" w:color="auto"/>
          </w:divBdr>
        </w:div>
        <w:div w:id="1284465105">
          <w:marLeft w:val="0"/>
          <w:marRight w:val="0"/>
          <w:marTop w:val="0"/>
          <w:marBottom w:val="0"/>
          <w:divBdr>
            <w:top w:val="none" w:sz="0" w:space="0" w:color="auto"/>
            <w:left w:val="none" w:sz="0" w:space="0" w:color="auto"/>
            <w:bottom w:val="none" w:sz="0" w:space="0" w:color="auto"/>
            <w:right w:val="none" w:sz="0" w:space="0" w:color="auto"/>
          </w:divBdr>
        </w:div>
        <w:div w:id="947197449">
          <w:marLeft w:val="0"/>
          <w:marRight w:val="0"/>
          <w:marTop w:val="0"/>
          <w:marBottom w:val="0"/>
          <w:divBdr>
            <w:top w:val="none" w:sz="0" w:space="0" w:color="auto"/>
            <w:left w:val="none" w:sz="0" w:space="0" w:color="auto"/>
            <w:bottom w:val="none" w:sz="0" w:space="0" w:color="auto"/>
            <w:right w:val="none" w:sz="0" w:space="0" w:color="auto"/>
          </w:divBdr>
        </w:div>
        <w:div w:id="1616673311">
          <w:marLeft w:val="0"/>
          <w:marRight w:val="0"/>
          <w:marTop w:val="0"/>
          <w:marBottom w:val="0"/>
          <w:divBdr>
            <w:top w:val="none" w:sz="0" w:space="0" w:color="auto"/>
            <w:left w:val="none" w:sz="0" w:space="0" w:color="auto"/>
            <w:bottom w:val="none" w:sz="0" w:space="0" w:color="auto"/>
            <w:right w:val="none" w:sz="0" w:space="0" w:color="auto"/>
          </w:divBdr>
        </w:div>
        <w:div w:id="597182929">
          <w:marLeft w:val="0"/>
          <w:marRight w:val="0"/>
          <w:marTop w:val="0"/>
          <w:marBottom w:val="0"/>
          <w:divBdr>
            <w:top w:val="none" w:sz="0" w:space="0" w:color="auto"/>
            <w:left w:val="none" w:sz="0" w:space="0" w:color="auto"/>
            <w:bottom w:val="none" w:sz="0" w:space="0" w:color="auto"/>
            <w:right w:val="none" w:sz="0" w:space="0" w:color="auto"/>
          </w:divBdr>
        </w:div>
        <w:div w:id="86771478">
          <w:marLeft w:val="0"/>
          <w:marRight w:val="0"/>
          <w:marTop w:val="0"/>
          <w:marBottom w:val="0"/>
          <w:divBdr>
            <w:top w:val="none" w:sz="0" w:space="0" w:color="auto"/>
            <w:left w:val="none" w:sz="0" w:space="0" w:color="auto"/>
            <w:bottom w:val="none" w:sz="0" w:space="0" w:color="auto"/>
            <w:right w:val="none" w:sz="0" w:space="0" w:color="auto"/>
          </w:divBdr>
        </w:div>
        <w:div w:id="1629893847">
          <w:marLeft w:val="0"/>
          <w:marRight w:val="0"/>
          <w:marTop w:val="0"/>
          <w:marBottom w:val="0"/>
          <w:divBdr>
            <w:top w:val="none" w:sz="0" w:space="0" w:color="auto"/>
            <w:left w:val="none" w:sz="0" w:space="0" w:color="auto"/>
            <w:bottom w:val="none" w:sz="0" w:space="0" w:color="auto"/>
            <w:right w:val="none" w:sz="0" w:space="0" w:color="auto"/>
          </w:divBdr>
        </w:div>
      </w:divsChild>
    </w:div>
    <w:div w:id="1068841459">
      <w:bodyDiv w:val="1"/>
      <w:marLeft w:val="0"/>
      <w:marRight w:val="0"/>
      <w:marTop w:val="0"/>
      <w:marBottom w:val="0"/>
      <w:divBdr>
        <w:top w:val="none" w:sz="0" w:space="0" w:color="auto"/>
        <w:left w:val="none" w:sz="0" w:space="0" w:color="auto"/>
        <w:bottom w:val="none" w:sz="0" w:space="0" w:color="auto"/>
        <w:right w:val="none" w:sz="0" w:space="0" w:color="auto"/>
      </w:divBdr>
      <w:divsChild>
        <w:div w:id="213590580">
          <w:marLeft w:val="547"/>
          <w:marRight w:val="0"/>
          <w:marTop w:val="96"/>
          <w:marBottom w:val="0"/>
          <w:divBdr>
            <w:top w:val="none" w:sz="0" w:space="0" w:color="auto"/>
            <w:left w:val="none" w:sz="0" w:space="0" w:color="auto"/>
            <w:bottom w:val="none" w:sz="0" w:space="0" w:color="auto"/>
            <w:right w:val="none" w:sz="0" w:space="0" w:color="auto"/>
          </w:divBdr>
        </w:div>
        <w:div w:id="789862158">
          <w:marLeft w:val="547"/>
          <w:marRight w:val="0"/>
          <w:marTop w:val="96"/>
          <w:marBottom w:val="0"/>
          <w:divBdr>
            <w:top w:val="none" w:sz="0" w:space="0" w:color="auto"/>
            <w:left w:val="none" w:sz="0" w:space="0" w:color="auto"/>
            <w:bottom w:val="none" w:sz="0" w:space="0" w:color="auto"/>
            <w:right w:val="none" w:sz="0" w:space="0" w:color="auto"/>
          </w:divBdr>
        </w:div>
        <w:div w:id="1637683165">
          <w:marLeft w:val="547"/>
          <w:marRight w:val="0"/>
          <w:marTop w:val="96"/>
          <w:marBottom w:val="0"/>
          <w:divBdr>
            <w:top w:val="none" w:sz="0" w:space="0" w:color="auto"/>
            <w:left w:val="none" w:sz="0" w:space="0" w:color="auto"/>
            <w:bottom w:val="none" w:sz="0" w:space="0" w:color="auto"/>
            <w:right w:val="none" w:sz="0" w:space="0" w:color="auto"/>
          </w:divBdr>
        </w:div>
        <w:div w:id="637956479">
          <w:marLeft w:val="547"/>
          <w:marRight w:val="0"/>
          <w:marTop w:val="96"/>
          <w:marBottom w:val="0"/>
          <w:divBdr>
            <w:top w:val="none" w:sz="0" w:space="0" w:color="auto"/>
            <w:left w:val="none" w:sz="0" w:space="0" w:color="auto"/>
            <w:bottom w:val="none" w:sz="0" w:space="0" w:color="auto"/>
            <w:right w:val="none" w:sz="0" w:space="0" w:color="auto"/>
          </w:divBdr>
        </w:div>
      </w:divsChild>
    </w:div>
    <w:div w:id="1192458018">
      <w:bodyDiv w:val="1"/>
      <w:marLeft w:val="0"/>
      <w:marRight w:val="0"/>
      <w:marTop w:val="0"/>
      <w:marBottom w:val="0"/>
      <w:divBdr>
        <w:top w:val="none" w:sz="0" w:space="0" w:color="auto"/>
        <w:left w:val="none" w:sz="0" w:space="0" w:color="auto"/>
        <w:bottom w:val="none" w:sz="0" w:space="0" w:color="auto"/>
        <w:right w:val="none" w:sz="0" w:space="0" w:color="auto"/>
      </w:divBdr>
    </w:div>
    <w:div w:id="1225264622">
      <w:bodyDiv w:val="1"/>
      <w:marLeft w:val="0"/>
      <w:marRight w:val="0"/>
      <w:marTop w:val="0"/>
      <w:marBottom w:val="0"/>
      <w:divBdr>
        <w:top w:val="none" w:sz="0" w:space="0" w:color="auto"/>
        <w:left w:val="none" w:sz="0" w:space="0" w:color="auto"/>
        <w:bottom w:val="none" w:sz="0" w:space="0" w:color="auto"/>
        <w:right w:val="none" w:sz="0" w:space="0" w:color="auto"/>
      </w:divBdr>
      <w:divsChild>
        <w:div w:id="1644650627">
          <w:marLeft w:val="0"/>
          <w:marRight w:val="0"/>
          <w:marTop w:val="0"/>
          <w:marBottom w:val="0"/>
          <w:divBdr>
            <w:top w:val="none" w:sz="0" w:space="0" w:color="auto"/>
            <w:left w:val="none" w:sz="0" w:space="0" w:color="auto"/>
            <w:bottom w:val="none" w:sz="0" w:space="0" w:color="auto"/>
            <w:right w:val="none" w:sz="0" w:space="0" w:color="auto"/>
          </w:divBdr>
        </w:div>
        <w:div w:id="789782554">
          <w:marLeft w:val="0"/>
          <w:marRight w:val="0"/>
          <w:marTop w:val="0"/>
          <w:marBottom w:val="0"/>
          <w:divBdr>
            <w:top w:val="none" w:sz="0" w:space="0" w:color="auto"/>
            <w:left w:val="none" w:sz="0" w:space="0" w:color="auto"/>
            <w:bottom w:val="none" w:sz="0" w:space="0" w:color="auto"/>
            <w:right w:val="none" w:sz="0" w:space="0" w:color="auto"/>
          </w:divBdr>
        </w:div>
        <w:div w:id="390426974">
          <w:marLeft w:val="0"/>
          <w:marRight w:val="0"/>
          <w:marTop w:val="0"/>
          <w:marBottom w:val="0"/>
          <w:divBdr>
            <w:top w:val="none" w:sz="0" w:space="0" w:color="auto"/>
            <w:left w:val="none" w:sz="0" w:space="0" w:color="auto"/>
            <w:bottom w:val="none" w:sz="0" w:space="0" w:color="auto"/>
            <w:right w:val="none" w:sz="0" w:space="0" w:color="auto"/>
          </w:divBdr>
        </w:div>
        <w:div w:id="1547260177">
          <w:marLeft w:val="0"/>
          <w:marRight w:val="0"/>
          <w:marTop w:val="0"/>
          <w:marBottom w:val="0"/>
          <w:divBdr>
            <w:top w:val="none" w:sz="0" w:space="0" w:color="auto"/>
            <w:left w:val="none" w:sz="0" w:space="0" w:color="auto"/>
            <w:bottom w:val="none" w:sz="0" w:space="0" w:color="auto"/>
            <w:right w:val="none" w:sz="0" w:space="0" w:color="auto"/>
          </w:divBdr>
        </w:div>
        <w:div w:id="670643195">
          <w:marLeft w:val="0"/>
          <w:marRight w:val="0"/>
          <w:marTop w:val="0"/>
          <w:marBottom w:val="0"/>
          <w:divBdr>
            <w:top w:val="none" w:sz="0" w:space="0" w:color="auto"/>
            <w:left w:val="none" w:sz="0" w:space="0" w:color="auto"/>
            <w:bottom w:val="none" w:sz="0" w:space="0" w:color="auto"/>
            <w:right w:val="none" w:sz="0" w:space="0" w:color="auto"/>
          </w:divBdr>
        </w:div>
      </w:divsChild>
    </w:div>
    <w:div w:id="1294212141">
      <w:bodyDiv w:val="1"/>
      <w:marLeft w:val="0"/>
      <w:marRight w:val="0"/>
      <w:marTop w:val="0"/>
      <w:marBottom w:val="0"/>
      <w:divBdr>
        <w:top w:val="none" w:sz="0" w:space="0" w:color="auto"/>
        <w:left w:val="none" w:sz="0" w:space="0" w:color="auto"/>
        <w:bottom w:val="none" w:sz="0" w:space="0" w:color="auto"/>
        <w:right w:val="none" w:sz="0" w:space="0" w:color="auto"/>
      </w:divBdr>
      <w:divsChild>
        <w:div w:id="1274559951">
          <w:marLeft w:val="0"/>
          <w:marRight w:val="0"/>
          <w:marTop w:val="0"/>
          <w:marBottom w:val="0"/>
          <w:divBdr>
            <w:top w:val="none" w:sz="0" w:space="0" w:color="auto"/>
            <w:left w:val="none" w:sz="0" w:space="0" w:color="auto"/>
            <w:bottom w:val="none" w:sz="0" w:space="0" w:color="auto"/>
            <w:right w:val="none" w:sz="0" w:space="0" w:color="auto"/>
          </w:divBdr>
        </w:div>
        <w:div w:id="1086534801">
          <w:marLeft w:val="0"/>
          <w:marRight w:val="0"/>
          <w:marTop w:val="0"/>
          <w:marBottom w:val="0"/>
          <w:divBdr>
            <w:top w:val="none" w:sz="0" w:space="0" w:color="auto"/>
            <w:left w:val="none" w:sz="0" w:space="0" w:color="auto"/>
            <w:bottom w:val="none" w:sz="0" w:space="0" w:color="auto"/>
            <w:right w:val="none" w:sz="0" w:space="0" w:color="auto"/>
          </w:divBdr>
        </w:div>
        <w:div w:id="1197306999">
          <w:marLeft w:val="0"/>
          <w:marRight w:val="0"/>
          <w:marTop w:val="0"/>
          <w:marBottom w:val="0"/>
          <w:divBdr>
            <w:top w:val="none" w:sz="0" w:space="0" w:color="auto"/>
            <w:left w:val="none" w:sz="0" w:space="0" w:color="auto"/>
            <w:bottom w:val="none" w:sz="0" w:space="0" w:color="auto"/>
            <w:right w:val="none" w:sz="0" w:space="0" w:color="auto"/>
          </w:divBdr>
        </w:div>
        <w:div w:id="443379310">
          <w:marLeft w:val="0"/>
          <w:marRight w:val="0"/>
          <w:marTop w:val="0"/>
          <w:marBottom w:val="0"/>
          <w:divBdr>
            <w:top w:val="none" w:sz="0" w:space="0" w:color="auto"/>
            <w:left w:val="none" w:sz="0" w:space="0" w:color="auto"/>
            <w:bottom w:val="none" w:sz="0" w:space="0" w:color="auto"/>
            <w:right w:val="none" w:sz="0" w:space="0" w:color="auto"/>
          </w:divBdr>
        </w:div>
        <w:div w:id="358433844">
          <w:marLeft w:val="0"/>
          <w:marRight w:val="0"/>
          <w:marTop w:val="0"/>
          <w:marBottom w:val="0"/>
          <w:divBdr>
            <w:top w:val="none" w:sz="0" w:space="0" w:color="auto"/>
            <w:left w:val="none" w:sz="0" w:space="0" w:color="auto"/>
            <w:bottom w:val="none" w:sz="0" w:space="0" w:color="auto"/>
            <w:right w:val="none" w:sz="0" w:space="0" w:color="auto"/>
          </w:divBdr>
        </w:div>
        <w:div w:id="412163503">
          <w:marLeft w:val="0"/>
          <w:marRight w:val="0"/>
          <w:marTop w:val="0"/>
          <w:marBottom w:val="0"/>
          <w:divBdr>
            <w:top w:val="none" w:sz="0" w:space="0" w:color="auto"/>
            <w:left w:val="none" w:sz="0" w:space="0" w:color="auto"/>
            <w:bottom w:val="none" w:sz="0" w:space="0" w:color="auto"/>
            <w:right w:val="none" w:sz="0" w:space="0" w:color="auto"/>
          </w:divBdr>
        </w:div>
      </w:divsChild>
    </w:div>
    <w:div w:id="1352074000">
      <w:bodyDiv w:val="1"/>
      <w:marLeft w:val="0"/>
      <w:marRight w:val="0"/>
      <w:marTop w:val="0"/>
      <w:marBottom w:val="0"/>
      <w:divBdr>
        <w:top w:val="none" w:sz="0" w:space="0" w:color="auto"/>
        <w:left w:val="none" w:sz="0" w:space="0" w:color="auto"/>
        <w:bottom w:val="none" w:sz="0" w:space="0" w:color="auto"/>
        <w:right w:val="none" w:sz="0" w:space="0" w:color="auto"/>
      </w:divBdr>
    </w:div>
    <w:div w:id="1605918894">
      <w:bodyDiv w:val="1"/>
      <w:marLeft w:val="0"/>
      <w:marRight w:val="0"/>
      <w:marTop w:val="0"/>
      <w:marBottom w:val="0"/>
      <w:divBdr>
        <w:top w:val="none" w:sz="0" w:space="0" w:color="auto"/>
        <w:left w:val="none" w:sz="0" w:space="0" w:color="auto"/>
        <w:bottom w:val="none" w:sz="0" w:space="0" w:color="auto"/>
        <w:right w:val="none" w:sz="0" w:space="0" w:color="auto"/>
      </w:divBdr>
    </w:div>
    <w:div w:id="1627009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6408">
          <w:marLeft w:val="0"/>
          <w:marRight w:val="0"/>
          <w:marTop w:val="0"/>
          <w:marBottom w:val="0"/>
          <w:divBdr>
            <w:top w:val="none" w:sz="0" w:space="0" w:color="auto"/>
            <w:left w:val="none" w:sz="0" w:space="0" w:color="auto"/>
            <w:bottom w:val="none" w:sz="0" w:space="0" w:color="auto"/>
            <w:right w:val="none" w:sz="0" w:space="0" w:color="auto"/>
          </w:divBdr>
        </w:div>
        <w:div w:id="1379084380">
          <w:marLeft w:val="0"/>
          <w:marRight w:val="0"/>
          <w:marTop w:val="0"/>
          <w:marBottom w:val="0"/>
          <w:divBdr>
            <w:top w:val="none" w:sz="0" w:space="0" w:color="auto"/>
            <w:left w:val="none" w:sz="0" w:space="0" w:color="auto"/>
            <w:bottom w:val="none" w:sz="0" w:space="0" w:color="auto"/>
            <w:right w:val="none" w:sz="0" w:space="0" w:color="auto"/>
          </w:divBdr>
        </w:div>
        <w:div w:id="1741630472">
          <w:marLeft w:val="0"/>
          <w:marRight w:val="0"/>
          <w:marTop w:val="0"/>
          <w:marBottom w:val="0"/>
          <w:divBdr>
            <w:top w:val="none" w:sz="0" w:space="0" w:color="auto"/>
            <w:left w:val="none" w:sz="0" w:space="0" w:color="auto"/>
            <w:bottom w:val="none" w:sz="0" w:space="0" w:color="auto"/>
            <w:right w:val="none" w:sz="0" w:space="0" w:color="auto"/>
          </w:divBdr>
        </w:div>
        <w:div w:id="1225600671">
          <w:marLeft w:val="0"/>
          <w:marRight w:val="0"/>
          <w:marTop w:val="0"/>
          <w:marBottom w:val="0"/>
          <w:divBdr>
            <w:top w:val="none" w:sz="0" w:space="0" w:color="auto"/>
            <w:left w:val="none" w:sz="0" w:space="0" w:color="auto"/>
            <w:bottom w:val="none" w:sz="0" w:space="0" w:color="auto"/>
            <w:right w:val="none" w:sz="0" w:space="0" w:color="auto"/>
          </w:divBdr>
        </w:div>
        <w:div w:id="322196239">
          <w:marLeft w:val="0"/>
          <w:marRight w:val="0"/>
          <w:marTop w:val="0"/>
          <w:marBottom w:val="0"/>
          <w:divBdr>
            <w:top w:val="none" w:sz="0" w:space="0" w:color="auto"/>
            <w:left w:val="none" w:sz="0" w:space="0" w:color="auto"/>
            <w:bottom w:val="none" w:sz="0" w:space="0" w:color="auto"/>
            <w:right w:val="none" w:sz="0" w:space="0" w:color="auto"/>
          </w:divBdr>
        </w:div>
        <w:div w:id="427044613">
          <w:marLeft w:val="0"/>
          <w:marRight w:val="0"/>
          <w:marTop w:val="0"/>
          <w:marBottom w:val="0"/>
          <w:divBdr>
            <w:top w:val="none" w:sz="0" w:space="0" w:color="auto"/>
            <w:left w:val="none" w:sz="0" w:space="0" w:color="auto"/>
            <w:bottom w:val="none" w:sz="0" w:space="0" w:color="auto"/>
            <w:right w:val="none" w:sz="0" w:space="0" w:color="auto"/>
          </w:divBdr>
        </w:div>
        <w:div w:id="1690446308">
          <w:marLeft w:val="0"/>
          <w:marRight w:val="0"/>
          <w:marTop w:val="0"/>
          <w:marBottom w:val="0"/>
          <w:divBdr>
            <w:top w:val="none" w:sz="0" w:space="0" w:color="auto"/>
            <w:left w:val="none" w:sz="0" w:space="0" w:color="auto"/>
            <w:bottom w:val="none" w:sz="0" w:space="0" w:color="auto"/>
            <w:right w:val="none" w:sz="0" w:space="0" w:color="auto"/>
          </w:divBdr>
        </w:div>
        <w:div w:id="602227599">
          <w:marLeft w:val="0"/>
          <w:marRight w:val="0"/>
          <w:marTop w:val="0"/>
          <w:marBottom w:val="0"/>
          <w:divBdr>
            <w:top w:val="none" w:sz="0" w:space="0" w:color="auto"/>
            <w:left w:val="none" w:sz="0" w:space="0" w:color="auto"/>
            <w:bottom w:val="none" w:sz="0" w:space="0" w:color="auto"/>
            <w:right w:val="none" w:sz="0" w:space="0" w:color="auto"/>
          </w:divBdr>
        </w:div>
        <w:div w:id="1603218572">
          <w:marLeft w:val="0"/>
          <w:marRight w:val="0"/>
          <w:marTop w:val="0"/>
          <w:marBottom w:val="0"/>
          <w:divBdr>
            <w:top w:val="none" w:sz="0" w:space="0" w:color="auto"/>
            <w:left w:val="none" w:sz="0" w:space="0" w:color="auto"/>
            <w:bottom w:val="none" w:sz="0" w:space="0" w:color="auto"/>
            <w:right w:val="none" w:sz="0" w:space="0" w:color="auto"/>
          </w:divBdr>
        </w:div>
        <w:div w:id="98450355">
          <w:marLeft w:val="0"/>
          <w:marRight w:val="0"/>
          <w:marTop w:val="0"/>
          <w:marBottom w:val="0"/>
          <w:divBdr>
            <w:top w:val="none" w:sz="0" w:space="0" w:color="auto"/>
            <w:left w:val="none" w:sz="0" w:space="0" w:color="auto"/>
            <w:bottom w:val="none" w:sz="0" w:space="0" w:color="auto"/>
            <w:right w:val="none" w:sz="0" w:space="0" w:color="auto"/>
          </w:divBdr>
        </w:div>
        <w:div w:id="1311591521">
          <w:marLeft w:val="0"/>
          <w:marRight w:val="0"/>
          <w:marTop w:val="0"/>
          <w:marBottom w:val="0"/>
          <w:divBdr>
            <w:top w:val="none" w:sz="0" w:space="0" w:color="auto"/>
            <w:left w:val="none" w:sz="0" w:space="0" w:color="auto"/>
            <w:bottom w:val="none" w:sz="0" w:space="0" w:color="auto"/>
            <w:right w:val="none" w:sz="0" w:space="0" w:color="auto"/>
          </w:divBdr>
        </w:div>
        <w:div w:id="1066417406">
          <w:marLeft w:val="0"/>
          <w:marRight w:val="0"/>
          <w:marTop w:val="0"/>
          <w:marBottom w:val="0"/>
          <w:divBdr>
            <w:top w:val="none" w:sz="0" w:space="0" w:color="auto"/>
            <w:left w:val="none" w:sz="0" w:space="0" w:color="auto"/>
            <w:bottom w:val="none" w:sz="0" w:space="0" w:color="auto"/>
            <w:right w:val="none" w:sz="0" w:space="0" w:color="auto"/>
          </w:divBdr>
        </w:div>
        <w:div w:id="1667319147">
          <w:marLeft w:val="0"/>
          <w:marRight w:val="0"/>
          <w:marTop w:val="0"/>
          <w:marBottom w:val="0"/>
          <w:divBdr>
            <w:top w:val="none" w:sz="0" w:space="0" w:color="auto"/>
            <w:left w:val="none" w:sz="0" w:space="0" w:color="auto"/>
            <w:bottom w:val="none" w:sz="0" w:space="0" w:color="auto"/>
            <w:right w:val="none" w:sz="0" w:space="0" w:color="auto"/>
          </w:divBdr>
        </w:div>
        <w:div w:id="984117729">
          <w:marLeft w:val="0"/>
          <w:marRight w:val="0"/>
          <w:marTop w:val="0"/>
          <w:marBottom w:val="0"/>
          <w:divBdr>
            <w:top w:val="none" w:sz="0" w:space="0" w:color="auto"/>
            <w:left w:val="none" w:sz="0" w:space="0" w:color="auto"/>
            <w:bottom w:val="none" w:sz="0" w:space="0" w:color="auto"/>
            <w:right w:val="none" w:sz="0" w:space="0" w:color="auto"/>
          </w:divBdr>
        </w:div>
      </w:divsChild>
    </w:div>
    <w:div w:id="1740859656">
      <w:bodyDiv w:val="1"/>
      <w:marLeft w:val="0"/>
      <w:marRight w:val="0"/>
      <w:marTop w:val="0"/>
      <w:marBottom w:val="0"/>
      <w:divBdr>
        <w:top w:val="none" w:sz="0" w:space="0" w:color="auto"/>
        <w:left w:val="none" w:sz="0" w:space="0" w:color="auto"/>
        <w:bottom w:val="none" w:sz="0" w:space="0" w:color="auto"/>
        <w:right w:val="none" w:sz="0" w:space="0" w:color="auto"/>
      </w:divBdr>
    </w:div>
    <w:div w:id="1894461097">
      <w:bodyDiv w:val="1"/>
      <w:marLeft w:val="0"/>
      <w:marRight w:val="0"/>
      <w:marTop w:val="0"/>
      <w:marBottom w:val="0"/>
      <w:divBdr>
        <w:top w:val="none" w:sz="0" w:space="0" w:color="auto"/>
        <w:left w:val="none" w:sz="0" w:space="0" w:color="auto"/>
        <w:bottom w:val="none" w:sz="0" w:space="0" w:color="auto"/>
        <w:right w:val="none" w:sz="0" w:space="0" w:color="auto"/>
      </w:divBdr>
      <w:divsChild>
        <w:div w:id="500003491">
          <w:marLeft w:val="547"/>
          <w:marRight w:val="0"/>
          <w:marTop w:val="86"/>
          <w:marBottom w:val="0"/>
          <w:divBdr>
            <w:top w:val="none" w:sz="0" w:space="0" w:color="auto"/>
            <w:left w:val="none" w:sz="0" w:space="0" w:color="auto"/>
            <w:bottom w:val="none" w:sz="0" w:space="0" w:color="auto"/>
            <w:right w:val="none" w:sz="0" w:space="0" w:color="auto"/>
          </w:divBdr>
        </w:div>
        <w:div w:id="2087074265">
          <w:marLeft w:val="547"/>
          <w:marRight w:val="0"/>
          <w:marTop w:val="86"/>
          <w:marBottom w:val="0"/>
          <w:divBdr>
            <w:top w:val="none" w:sz="0" w:space="0" w:color="auto"/>
            <w:left w:val="none" w:sz="0" w:space="0" w:color="auto"/>
            <w:bottom w:val="none" w:sz="0" w:space="0" w:color="auto"/>
            <w:right w:val="none" w:sz="0" w:space="0" w:color="auto"/>
          </w:divBdr>
        </w:div>
        <w:div w:id="1304115817">
          <w:marLeft w:val="547"/>
          <w:marRight w:val="0"/>
          <w:marTop w:val="86"/>
          <w:marBottom w:val="0"/>
          <w:divBdr>
            <w:top w:val="none" w:sz="0" w:space="0" w:color="auto"/>
            <w:left w:val="none" w:sz="0" w:space="0" w:color="auto"/>
            <w:bottom w:val="none" w:sz="0" w:space="0" w:color="auto"/>
            <w:right w:val="none" w:sz="0" w:space="0" w:color="auto"/>
          </w:divBdr>
        </w:div>
      </w:divsChild>
    </w:div>
    <w:div w:id="1908416930">
      <w:bodyDiv w:val="1"/>
      <w:marLeft w:val="0"/>
      <w:marRight w:val="0"/>
      <w:marTop w:val="0"/>
      <w:marBottom w:val="0"/>
      <w:divBdr>
        <w:top w:val="none" w:sz="0" w:space="0" w:color="auto"/>
        <w:left w:val="none" w:sz="0" w:space="0" w:color="auto"/>
        <w:bottom w:val="none" w:sz="0" w:space="0" w:color="auto"/>
        <w:right w:val="none" w:sz="0" w:space="0" w:color="auto"/>
      </w:divBdr>
    </w:div>
    <w:div w:id="21359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A79B7-C5DA-4716-84FC-6F27671E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11992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Gannon, Jaime Rose</cp:lastModifiedBy>
  <cp:revision>2</cp:revision>
  <cp:lastPrinted>2015-02-08T18:15:00Z</cp:lastPrinted>
  <dcterms:created xsi:type="dcterms:W3CDTF">2015-02-09T16:58:00Z</dcterms:created>
  <dcterms:modified xsi:type="dcterms:W3CDTF">2015-02-09T16:58:00Z</dcterms:modified>
</cp:coreProperties>
</file>