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5F" w:rsidRPr="000E7B5F" w:rsidRDefault="000E7B5F" w:rsidP="000E7B5F">
      <w:pPr>
        <w:jc w:val="center"/>
        <w:rPr>
          <w:b/>
          <w:sz w:val="24"/>
          <w:szCs w:val="24"/>
        </w:rPr>
      </w:pPr>
      <w:r w:rsidRPr="000E7B5F">
        <w:rPr>
          <w:b/>
          <w:sz w:val="24"/>
          <w:szCs w:val="24"/>
        </w:rPr>
        <w:t>Demand Analysis Working Group (DAWG) – Energy Savings Pup</w:t>
      </w:r>
    </w:p>
    <w:p w:rsidR="000E7B5F" w:rsidRPr="000E7B5F" w:rsidRDefault="000E7B5F" w:rsidP="000E7B5F"/>
    <w:p w:rsidR="000E7B5F" w:rsidRPr="000E7B5F" w:rsidRDefault="000E7B5F" w:rsidP="000E7B5F">
      <w:pPr>
        <w:jc w:val="center"/>
        <w:rPr>
          <w:b/>
          <w:sz w:val="24"/>
          <w:szCs w:val="24"/>
        </w:rPr>
      </w:pPr>
      <w:r w:rsidRPr="000E7B5F">
        <w:rPr>
          <w:b/>
          <w:sz w:val="24"/>
          <w:szCs w:val="24"/>
        </w:rPr>
        <w:t xml:space="preserve">AB 802 Analysis + EE Potential 2018 &amp; Beyond </w:t>
      </w:r>
    </w:p>
    <w:p w:rsidR="000E7B5F" w:rsidRDefault="000E7B5F" w:rsidP="000E7B5F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38"/>
        <w:gridCol w:w="5238"/>
      </w:tblGrid>
      <w:tr w:rsidR="000E7B5F" w:rsidTr="000E7B5F">
        <w:trPr>
          <w:jc w:val="center"/>
        </w:trPr>
        <w:tc>
          <w:tcPr>
            <w:tcW w:w="4338" w:type="dxa"/>
          </w:tcPr>
          <w:p w:rsidR="000E7B5F" w:rsidRPr="000E7B5F" w:rsidRDefault="000E7B5F" w:rsidP="000E7B5F">
            <w:pPr>
              <w:rPr>
                <w:b/>
              </w:rPr>
            </w:pPr>
            <w:r w:rsidRPr="000E7B5F">
              <w:rPr>
                <w:b/>
              </w:rPr>
              <w:t xml:space="preserve">Join in person: </w:t>
            </w:r>
          </w:p>
          <w:p w:rsidR="000E7B5F" w:rsidRPr="000E7B5F" w:rsidRDefault="000E7B5F" w:rsidP="000E7B5F">
            <w:r w:rsidRPr="000E7B5F">
              <w:t>California Public Utilities Commission -- Auditorium</w:t>
            </w:r>
            <w:r w:rsidRPr="000E7B5F">
              <w:br/>
              <w:t>505 Van Ness Ave</w:t>
            </w:r>
            <w:r w:rsidRPr="000E7B5F">
              <w:br/>
              <w:t>San Francisco, CA 94102</w:t>
            </w:r>
            <w:r w:rsidRPr="000E7B5F">
              <w:br/>
            </w:r>
          </w:p>
          <w:p w:rsidR="000E7B5F" w:rsidRDefault="000E7B5F" w:rsidP="000E7B5F">
            <w:pPr>
              <w:rPr>
                <w:b/>
              </w:rPr>
            </w:pPr>
          </w:p>
        </w:tc>
        <w:tc>
          <w:tcPr>
            <w:tcW w:w="5238" w:type="dxa"/>
          </w:tcPr>
          <w:p w:rsidR="000E7B5F" w:rsidRPr="000E7B5F" w:rsidRDefault="000E7B5F" w:rsidP="000E7B5F">
            <w:pPr>
              <w:rPr>
                <w:b/>
              </w:rPr>
            </w:pPr>
            <w:r w:rsidRPr="000E7B5F">
              <w:rPr>
                <w:b/>
              </w:rPr>
              <w:t>Join remotely:</w:t>
            </w:r>
          </w:p>
          <w:p w:rsidR="000E7B5F" w:rsidRPr="000E7B5F" w:rsidRDefault="000E7B5F" w:rsidP="000E7B5F">
            <w:pPr>
              <w:rPr>
                <w:u w:val="single"/>
              </w:rPr>
            </w:pPr>
            <w:hyperlink r:id="rId5" w:history="1">
              <w:r w:rsidRPr="000E7B5F">
                <w:rPr>
                  <w:color w:val="0070C0"/>
                  <w:u w:val="single"/>
                </w:rPr>
                <w:t>https://van.webex.com/van/j.php?MTID=m87dcdf56c684c2055a518c4850b704c8</w:t>
              </w:r>
            </w:hyperlink>
            <w:r w:rsidRPr="000E7B5F">
              <w:rPr>
                <w:u w:val="single"/>
              </w:rPr>
              <w:t xml:space="preserve"> </w:t>
            </w:r>
          </w:p>
          <w:p w:rsidR="000E7B5F" w:rsidRDefault="000E7B5F" w:rsidP="000E7B5F">
            <w:pPr>
              <w:rPr>
                <w:u w:val="single"/>
              </w:rPr>
            </w:pPr>
            <w:r w:rsidRPr="000E7B5F">
              <w:t>Meeting number: 819 846 638</w:t>
            </w:r>
          </w:p>
          <w:p w:rsidR="000E7B5F" w:rsidRDefault="000E7B5F" w:rsidP="000E7B5F"/>
          <w:p w:rsidR="000E7B5F" w:rsidRDefault="000E7B5F" w:rsidP="000E7B5F">
            <w:pPr>
              <w:rPr>
                <w:b/>
              </w:rPr>
            </w:pPr>
            <w:r w:rsidRPr="000E7B5F">
              <w:t>Call-in: 866 633 5590</w:t>
            </w:r>
            <w:r w:rsidRPr="000E7B5F">
              <w:br/>
              <w:t>Participant: 3535621</w:t>
            </w:r>
          </w:p>
        </w:tc>
      </w:tr>
    </w:tbl>
    <w:p w:rsidR="000E7B5F" w:rsidRDefault="000E7B5F" w:rsidP="000E7B5F">
      <w:pPr>
        <w:rPr>
          <w:b/>
        </w:rPr>
      </w:pPr>
    </w:p>
    <w:p w:rsidR="000E7B5F" w:rsidRDefault="000E7B5F" w:rsidP="000E7B5F"/>
    <w:p w:rsidR="000E7B5F" w:rsidRPr="000E7B5F" w:rsidRDefault="000E7B5F" w:rsidP="000E7B5F">
      <w:pPr>
        <w:rPr>
          <w:i/>
        </w:rPr>
      </w:pPr>
      <w:r w:rsidRPr="000E7B5F">
        <w:rPr>
          <w:b/>
        </w:rPr>
        <w:t>Description:</w:t>
      </w:r>
      <w:r>
        <w:t xml:space="preserve"> </w:t>
      </w:r>
      <w:r w:rsidRPr="000E7B5F">
        <w:rPr>
          <w:i/>
        </w:rPr>
        <w:t xml:space="preserve">Navigant Consulting will present the methodology and findings of its AB802 Technical Analysis (released in April 2016 and available online at: http://www.cpuc.ca.gov/General.aspx?id=2013) and the progress in additional research and analysis. The AB 802 Technical Analysis was developed as an initial framework for incorporating the AB802 mandates and quantification of opportunities and risks. </w:t>
      </w:r>
    </w:p>
    <w:p w:rsidR="000E7B5F" w:rsidRPr="000E7B5F" w:rsidRDefault="000E7B5F" w:rsidP="000E7B5F">
      <w:pPr>
        <w:rPr>
          <w:i/>
        </w:rPr>
      </w:pPr>
    </w:p>
    <w:p w:rsidR="000E7B5F" w:rsidRPr="000E7B5F" w:rsidRDefault="000E7B5F" w:rsidP="000E7B5F">
      <w:pPr>
        <w:rPr>
          <w:i/>
        </w:rPr>
      </w:pPr>
      <w:r w:rsidRPr="000E7B5F">
        <w:rPr>
          <w:i/>
        </w:rPr>
        <w:t xml:space="preserve">CPUC staff and Navigant will also discuss the initial scope of the 2018 and </w:t>
      </w:r>
      <w:proofErr w:type="gramStart"/>
      <w:r w:rsidRPr="000E7B5F">
        <w:rPr>
          <w:i/>
        </w:rPr>
        <w:t>Beyond</w:t>
      </w:r>
      <w:proofErr w:type="gramEnd"/>
      <w:r w:rsidRPr="000E7B5F">
        <w:rPr>
          <w:i/>
        </w:rPr>
        <w:t xml:space="preserve"> energy efficiency potential study which is the next scheduled study to inform an update to the IOU goals.</w:t>
      </w:r>
      <w:r w:rsidRPr="000E7B5F">
        <w:rPr>
          <w:i/>
        </w:rPr>
        <w:t xml:space="preserve">  </w:t>
      </w:r>
    </w:p>
    <w:p w:rsidR="00677EE3" w:rsidRDefault="00677EE3" w:rsidP="00677EE3"/>
    <w:p w:rsidR="00677EE3" w:rsidRDefault="00677EE3" w:rsidP="00677EE3">
      <w:pPr>
        <w:rPr>
          <w:b/>
          <w:bCs/>
        </w:rPr>
      </w:pPr>
      <w:r>
        <w:rPr>
          <w:b/>
          <w:bCs/>
        </w:rPr>
        <w:t xml:space="preserve">Morning Session: AB802 </w:t>
      </w:r>
    </w:p>
    <w:p w:rsidR="00677EE3" w:rsidRDefault="00677EE3" w:rsidP="00677EE3">
      <w:r>
        <w:t>9:30 am – 9:45 am: Intro and schedule of the proceeding (CPUC Staff)</w:t>
      </w:r>
    </w:p>
    <w:p w:rsidR="00677EE3" w:rsidRDefault="00677EE3" w:rsidP="00677EE3">
      <w:r>
        <w:t>9:45 am – 10:45 am: AB802 Technical Analysis Methodology and Results Presentation (Navigant)</w:t>
      </w:r>
    </w:p>
    <w:p w:rsidR="00677EE3" w:rsidRDefault="00677EE3" w:rsidP="00677EE3">
      <w:r>
        <w:t>10:45 am – 11:00 am: Break</w:t>
      </w:r>
    </w:p>
    <w:p w:rsidR="00677EE3" w:rsidRDefault="00677EE3" w:rsidP="00677EE3">
      <w:r>
        <w:t>11:00 am – 12 noon: AB802 Technical Analysis – Discussion and Q&amp;A (Navigant + CPUC Staff)</w:t>
      </w:r>
    </w:p>
    <w:p w:rsidR="00677EE3" w:rsidRDefault="00677EE3" w:rsidP="00677EE3"/>
    <w:p w:rsidR="00677EE3" w:rsidRDefault="00677EE3" w:rsidP="00677EE3">
      <w:pPr>
        <w:rPr>
          <w:b/>
          <w:bCs/>
        </w:rPr>
      </w:pPr>
      <w:r>
        <w:rPr>
          <w:b/>
          <w:bCs/>
        </w:rPr>
        <w:t xml:space="preserve">12 noon – 1:00 pm: Lunch </w:t>
      </w:r>
    </w:p>
    <w:p w:rsidR="00677EE3" w:rsidRDefault="00677EE3" w:rsidP="00677EE3"/>
    <w:p w:rsidR="00677EE3" w:rsidRDefault="00677EE3" w:rsidP="00677EE3">
      <w:pPr>
        <w:rPr>
          <w:b/>
          <w:bCs/>
        </w:rPr>
      </w:pPr>
      <w:r>
        <w:rPr>
          <w:b/>
          <w:bCs/>
        </w:rPr>
        <w:t>Afternoon Session: Potential and Goals Update</w:t>
      </w:r>
      <w:bookmarkStart w:id="0" w:name="_GoBack"/>
      <w:bookmarkEnd w:id="0"/>
    </w:p>
    <w:p w:rsidR="00677EE3" w:rsidRDefault="00677EE3" w:rsidP="00677EE3">
      <w:r>
        <w:t>1:00 pm – 2:30 pm: Presentation of Initial Scope of 2018 and Beyond Potential Study (Navigant)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>Introduction and Timeline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>Global Inputs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>Residential and Commercial inputs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 xml:space="preserve">Whole building 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 xml:space="preserve">Agriculture, Industrial, Mining and </w:t>
      </w:r>
      <w:proofErr w:type="spellStart"/>
      <w:r>
        <w:rPr>
          <w:sz w:val="20"/>
          <w:szCs w:val="20"/>
        </w:rPr>
        <w:t>Streetlighting</w:t>
      </w:r>
      <w:proofErr w:type="spellEnd"/>
      <w:r>
        <w:rPr>
          <w:sz w:val="20"/>
          <w:szCs w:val="20"/>
        </w:rPr>
        <w:t xml:space="preserve"> 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 xml:space="preserve">Behavior, </w:t>
      </w:r>
      <w:proofErr w:type="spellStart"/>
      <w:r>
        <w:rPr>
          <w:sz w:val="20"/>
          <w:szCs w:val="20"/>
        </w:rPr>
        <w:t>Retrocommissioning</w:t>
      </w:r>
      <w:proofErr w:type="spellEnd"/>
      <w:r>
        <w:rPr>
          <w:sz w:val="20"/>
          <w:szCs w:val="20"/>
        </w:rPr>
        <w:t xml:space="preserve">, Operational (BROs) Efficiency 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>Codes and Standards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>Energy Efficiency Financing</w:t>
      </w:r>
    </w:p>
    <w:p w:rsidR="00677EE3" w:rsidRDefault="00677EE3" w:rsidP="00677EE3">
      <w:pPr>
        <w:pStyle w:val="ListParagraph"/>
        <w:ind w:left="1080" w:hanging="360"/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0"/>
          <w:szCs w:val="20"/>
        </w:rPr>
        <w:t xml:space="preserve">Modeling Updates </w:t>
      </w:r>
    </w:p>
    <w:p w:rsidR="00677EE3" w:rsidRDefault="00677EE3" w:rsidP="00677EE3">
      <w:pPr>
        <w:rPr>
          <w:sz w:val="20"/>
          <w:szCs w:val="20"/>
        </w:rPr>
      </w:pPr>
      <w:r>
        <w:t>2:30 pm – 2:45 pm: Break</w:t>
      </w:r>
    </w:p>
    <w:p w:rsidR="00677EE3" w:rsidRDefault="00677EE3" w:rsidP="00677EE3">
      <w:r>
        <w:t>2:45 pm – 4:00 pm: 2018 PG Study – Discussion and Q&amp;A (Navigant + CPUC Staff)</w:t>
      </w:r>
    </w:p>
    <w:p w:rsidR="00677EE3" w:rsidRDefault="00677EE3" w:rsidP="00677EE3"/>
    <w:p w:rsidR="00677EE3" w:rsidRPr="00677EE3" w:rsidRDefault="00677EE3" w:rsidP="00677EE3">
      <w:pPr>
        <w:rPr>
          <w:b/>
        </w:rPr>
      </w:pPr>
      <w:r w:rsidRPr="00677EE3">
        <w:rPr>
          <w:b/>
        </w:rPr>
        <w:t>Informal comments</w:t>
      </w:r>
    </w:p>
    <w:p w:rsidR="00677EE3" w:rsidRDefault="00677EE3" w:rsidP="00677EE3">
      <w:r>
        <w:t>Please send informal comments by July 29 COB to:</w:t>
      </w:r>
    </w:p>
    <w:p w:rsidR="00677EE3" w:rsidRDefault="00677EE3" w:rsidP="00677EE3">
      <w:r>
        <w:t xml:space="preserve">Paula </w:t>
      </w:r>
      <w:proofErr w:type="spellStart"/>
      <w:r>
        <w:t>Gruendling</w:t>
      </w:r>
      <w:proofErr w:type="spellEnd"/>
      <w:r>
        <w:t xml:space="preserve">: </w:t>
      </w:r>
      <w:hyperlink r:id="rId6" w:history="1">
        <w:r w:rsidRPr="00284115">
          <w:rPr>
            <w:rStyle w:val="Hyperlink"/>
          </w:rPr>
          <w:t>paula.gruendling@cpuc.ca.gov</w:t>
        </w:r>
      </w:hyperlink>
    </w:p>
    <w:p w:rsidR="00677EE3" w:rsidRDefault="00677EE3" w:rsidP="00677EE3">
      <w:proofErr w:type="spellStart"/>
      <w:r>
        <w:t>Amul</w:t>
      </w:r>
      <w:proofErr w:type="spellEnd"/>
      <w:r>
        <w:t xml:space="preserve"> </w:t>
      </w:r>
      <w:proofErr w:type="spellStart"/>
      <w:r>
        <w:t>Sathe</w:t>
      </w:r>
      <w:proofErr w:type="spellEnd"/>
      <w:r>
        <w:t xml:space="preserve">: </w:t>
      </w:r>
      <w:hyperlink r:id="rId7" w:history="1">
        <w:r w:rsidRPr="00284115">
          <w:rPr>
            <w:rStyle w:val="Hyperlink"/>
          </w:rPr>
          <w:t>amul.sathe@navigant.com</w:t>
        </w:r>
      </w:hyperlink>
    </w:p>
    <w:p w:rsidR="00677EE3" w:rsidRDefault="00677EE3" w:rsidP="00677EE3">
      <w:r>
        <w:t xml:space="preserve">Chris-Ann Dickerson: </w:t>
      </w:r>
      <w:hyperlink r:id="rId8" w:history="1">
        <w:r w:rsidRPr="00284115">
          <w:rPr>
            <w:rStyle w:val="Hyperlink"/>
          </w:rPr>
          <w:t>cadickerson@cadconsulting.biz</w:t>
        </w:r>
      </w:hyperlink>
    </w:p>
    <w:p w:rsidR="00677EE3" w:rsidRDefault="00677EE3" w:rsidP="00677EE3"/>
    <w:p w:rsidR="001D46D2" w:rsidRPr="00677EE3" w:rsidRDefault="00677EE3">
      <w:pPr>
        <w:rPr>
          <w:b/>
        </w:rPr>
      </w:pPr>
      <w:r w:rsidRPr="00677EE3">
        <w:rPr>
          <w:b/>
        </w:rPr>
        <w:t xml:space="preserve">Workshop materials </w:t>
      </w:r>
      <w:r>
        <w:rPr>
          <w:b/>
        </w:rPr>
        <w:t xml:space="preserve">and comments </w:t>
      </w:r>
      <w:r w:rsidRPr="00677EE3">
        <w:rPr>
          <w:b/>
        </w:rPr>
        <w:t xml:space="preserve">will be available at </w:t>
      </w:r>
    </w:p>
    <w:p w:rsidR="00677EE3" w:rsidRDefault="00677EE3">
      <w:r>
        <w:t xml:space="preserve">CPUC website: </w:t>
      </w:r>
      <w:hyperlink r:id="rId9" w:history="1">
        <w:r w:rsidRPr="00284115">
          <w:rPr>
            <w:rStyle w:val="Hyperlink"/>
          </w:rPr>
          <w:t>http://www.cpuc.ca.gov/General.aspx?id=2013</w:t>
        </w:r>
      </w:hyperlink>
    </w:p>
    <w:p w:rsidR="00677EE3" w:rsidRDefault="00677EE3">
      <w:r>
        <w:t xml:space="preserve">DAWG website: </w:t>
      </w:r>
      <w:hyperlink r:id="rId10" w:history="1">
        <w:r w:rsidRPr="00284115">
          <w:rPr>
            <w:rStyle w:val="Hyperlink"/>
          </w:rPr>
          <w:t>http://demandanalysisworkinggroup.org/event/energy-savings-pup-4/?instance_id=329</w:t>
        </w:r>
      </w:hyperlink>
      <w:r>
        <w:t xml:space="preserve"> </w:t>
      </w:r>
    </w:p>
    <w:p w:rsidR="00677EE3" w:rsidRDefault="00677EE3"/>
    <w:sectPr w:rsidR="00677EE3" w:rsidSect="000E7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E3"/>
    <w:rsid w:val="000E7B5F"/>
    <w:rsid w:val="00677EE3"/>
    <w:rsid w:val="008F5767"/>
    <w:rsid w:val="00E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E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EE3"/>
    <w:pPr>
      <w:spacing w:after="160" w:line="252" w:lineRule="auto"/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0E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E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EE3"/>
    <w:pPr>
      <w:spacing w:after="160" w:line="252" w:lineRule="auto"/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0E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57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ickerson@cadconsulting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ul.sathe@navigan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ula.gruendling@cpuc.ca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an.webex.com/van/j.php?MTID=m87dcdf56c684c2055a518c4850b704c8" TargetMode="External"/><Relationship Id="rId10" Type="http://schemas.openxmlformats.org/officeDocument/2006/relationships/hyperlink" Target="http://demandanalysisworkinggroup.org/event/energy-savings-pup-4/?instance_id=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c.ca.gov/General.aspx?id=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Gruendling, Paula</dc:creator>
  <cp:lastModifiedBy>Gruendling, Paula</cp:lastModifiedBy>
  <cp:revision>1</cp:revision>
  <dcterms:created xsi:type="dcterms:W3CDTF">2016-07-18T23:03:00Z</dcterms:created>
  <dcterms:modified xsi:type="dcterms:W3CDTF">2016-07-18T23:25:00Z</dcterms:modified>
</cp:coreProperties>
</file>