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C5BAE" w14:textId="1A4CF253" w:rsidR="003129D6" w:rsidRPr="003129D6" w:rsidRDefault="003129D6" w:rsidP="003129D6">
      <w:pPr>
        <w:spacing w:line="276" w:lineRule="auto"/>
        <w:jc w:val="center"/>
        <w:rPr>
          <w:rFonts w:ascii="Times New Roman" w:hAnsi="Times New Roman" w:cs="Times New Roman"/>
        </w:rPr>
      </w:pPr>
      <w:r w:rsidRPr="003129D6">
        <w:rPr>
          <w:rFonts w:ascii="Times New Roman" w:hAnsi="Times New Roman" w:cs="Times New Roman"/>
        </w:rPr>
        <w:t>Comments of The Utility Reform Network (TURN) on Navigant’s Proposed</w:t>
      </w:r>
    </w:p>
    <w:p w14:paraId="6535DB61" w14:textId="77777777" w:rsidR="003129D6" w:rsidRPr="003129D6" w:rsidRDefault="003129D6" w:rsidP="003129D6">
      <w:pPr>
        <w:spacing w:line="276" w:lineRule="auto"/>
        <w:jc w:val="center"/>
        <w:rPr>
          <w:rFonts w:ascii="Times New Roman" w:hAnsi="Times New Roman" w:cs="Times New Roman"/>
        </w:rPr>
      </w:pPr>
      <w:r w:rsidRPr="003129D6">
        <w:rPr>
          <w:rFonts w:ascii="Times New Roman" w:hAnsi="Times New Roman" w:cs="Times New Roman"/>
        </w:rPr>
        <w:t>Energy Efficiency Potential Model</w:t>
      </w:r>
    </w:p>
    <w:p w14:paraId="5E2E08C7" w14:textId="77777777" w:rsidR="003129D6" w:rsidRPr="003129D6" w:rsidRDefault="003129D6" w:rsidP="003129D6">
      <w:pPr>
        <w:spacing w:line="276" w:lineRule="auto"/>
        <w:jc w:val="center"/>
        <w:rPr>
          <w:rFonts w:ascii="Times New Roman" w:hAnsi="Times New Roman" w:cs="Times New Roman"/>
        </w:rPr>
      </w:pPr>
      <w:r w:rsidRPr="003129D6">
        <w:rPr>
          <w:rFonts w:ascii="Times New Roman" w:hAnsi="Times New Roman" w:cs="Times New Roman"/>
        </w:rPr>
        <w:t>December 20, 2016</w:t>
      </w:r>
    </w:p>
    <w:p w14:paraId="2713B3C1" w14:textId="3383B487" w:rsidR="003129D6" w:rsidRPr="003129D6" w:rsidRDefault="003129D6" w:rsidP="003129D6">
      <w:pPr>
        <w:spacing w:line="276" w:lineRule="auto"/>
        <w:jc w:val="center"/>
        <w:rPr>
          <w:rFonts w:ascii="Times New Roman" w:hAnsi="Times New Roman" w:cs="Times New Roman"/>
        </w:rPr>
      </w:pPr>
      <w:r w:rsidRPr="003129D6">
        <w:rPr>
          <w:rFonts w:ascii="Times New Roman" w:hAnsi="Times New Roman" w:cs="Times New Roman"/>
        </w:rPr>
        <w:t xml:space="preserve">Cynthia Mitchell, TURN consultant </w:t>
      </w:r>
    </w:p>
    <w:p w14:paraId="50458BAF" w14:textId="77777777" w:rsidR="003129D6" w:rsidRPr="003129D6" w:rsidRDefault="003129D6" w:rsidP="003129D6">
      <w:pPr>
        <w:spacing w:line="276" w:lineRule="auto"/>
        <w:jc w:val="center"/>
        <w:rPr>
          <w:rFonts w:ascii="Times New Roman" w:hAnsi="Times New Roman" w:cs="Times New Roman"/>
        </w:rPr>
      </w:pPr>
    </w:p>
    <w:p w14:paraId="5AC2C0E2" w14:textId="66E4B780" w:rsidR="00593D4D" w:rsidRDefault="003129D6" w:rsidP="00D27337">
      <w:pPr>
        <w:spacing w:line="360" w:lineRule="auto"/>
        <w:ind w:firstLine="360"/>
        <w:rPr>
          <w:rFonts w:ascii="Times New Roman" w:hAnsi="Times New Roman" w:cs="Times New Roman"/>
        </w:rPr>
      </w:pPr>
      <w:r w:rsidRPr="003129D6">
        <w:rPr>
          <w:rFonts w:ascii="Times New Roman" w:hAnsi="Times New Roman" w:cs="Times New Roman"/>
        </w:rPr>
        <w:t xml:space="preserve">The Utility Reform Network (TURN) appreciates the opportunity to offer these comments on the California Public Utilities Commission’s (CPUC) energy efficiency draft energy efficiency potential model by Navigant Consulting. Our recommendations are provided as follows. </w:t>
      </w:r>
    </w:p>
    <w:p w14:paraId="5090AFE5" w14:textId="04CDB3A0" w:rsidR="00D24EB2" w:rsidRDefault="00D27337" w:rsidP="00D24EB2">
      <w:pPr>
        <w:spacing w:line="360" w:lineRule="auto"/>
        <w:ind w:firstLine="360"/>
        <w:rPr>
          <w:rFonts w:ascii="Times New Roman" w:hAnsi="Times New Roman" w:cs="Times New Roman"/>
        </w:rPr>
      </w:pPr>
      <w:r>
        <w:rPr>
          <w:rFonts w:ascii="Times New Roman" w:hAnsi="Times New Roman" w:cs="Times New Roman"/>
        </w:rPr>
        <w:t>In addition to</w:t>
      </w:r>
      <w:r w:rsidR="003129D6">
        <w:rPr>
          <w:rFonts w:ascii="Times New Roman" w:hAnsi="Times New Roman" w:cs="Times New Roman"/>
        </w:rPr>
        <w:t xml:space="preserve"> being the basis for quantitative goal setting, the potentials analysis </w:t>
      </w:r>
      <w:r>
        <w:rPr>
          <w:rFonts w:ascii="Times New Roman" w:hAnsi="Times New Roman" w:cs="Times New Roman"/>
        </w:rPr>
        <w:t xml:space="preserve">– market achievable -- </w:t>
      </w:r>
      <w:r w:rsidR="003129D6">
        <w:rPr>
          <w:rFonts w:ascii="Times New Roman" w:hAnsi="Times New Roman" w:cs="Times New Roman"/>
        </w:rPr>
        <w:t>is generally interpreted as guidance if not prescription for the portfolio key measure mix, program design, incentive and non-incentive spending, structure and level of incentives</w:t>
      </w:r>
      <w:r>
        <w:rPr>
          <w:rFonts w:ascii="Times New Roman" w:hAnsi="Times New Roman" w:cs="Times New Roman"/>
        </w:rPr>
        <w:t>.</w:t>
      </w:r>
      <w:r w:rsidR="00D24EB2">
        <w:rPr>
          <w:rFonts w:ascii="Times New Roman" w:hAnsi="Times New Roman" w:cs="Times New Roman"/>
        </w:rPr>
        <w:t xml:space="preserve"> The following excerpt from TURN’s April 23, 2013 informal comments on the then current P&amp;D study hold true today. </w:t>
      </w:r>
    </w:p>
    <w:p w14:paraId="1051598E" w14:textId="77777777" w:rsidR="00D24EB2" w:rsidRDefault="00D24EB2" w:rsidP="00D24EB2">
      <w:pPr>
        <w:spacing w:line="360" w:lineRule="auto"/>
        <w:ind w:firstLine="360"/>
        <w:rPr>
          <w:rFonts w:ascii="Times New Roman" w:hAnsi="Times New Roman" w:cs="Times New Roman"/>
        </w:rPr>
      </w:pPr>
    </w:p>
    <w:p w14:paraId="1F0891F3" w14:textId="7375FBFF" w:rsidR="00D27337" w:rsidRDefault="00D24EB2" w:rsidP="00D24EB2">
      <w:pPr>
        <w:spacing w:line="276" w:lineRule="auto"/>
        <w:ind w:left="360" w:firstLine="360"/>
        <w:rPr>
          <w:rFonts w:ascii="Times New Roman" w:hAnsi="Times New Roman" w:cs="Times New Roman"/>
        </w:rPr>
      </w:pPr>
      <w:r>
        <w:rPr>
          <w:rFonts w:ascii="Times New Roman" w:hAnsi="Times New Roman" w:cs="Times New Roman"/>
        </w:rPr>
        <w:t xml:space="preserve">“TURN’s longstanding primary concern regarding the current PGT </w:t>
      </w:r>
      <w:r w:rsidRPr="007766D4">
        <w:rPr>
          <w:rFonts w:ascii="Times New Roman" w:hAnsi="Times New Roman" w:cs="Times New Roman"/>
        </w:rPr>
        <w:t xml:space="preserve">have coalesced around the extent to which Navigant’s model is tied into IOU compliance filing assumptions and calibrated to prior program cycle evaluations.  </w:t>
      </w:r>
      <w:r w:rsidR="00D27337">
        <w:rPr>
          <w:rFonts w:ascii="Times New Roman" w:hAnsi="Times New Roman" w:cs="Times New Roman"/>
        </w:rPr>
        <w:t xml:space="preserve">This is especially evident in the results for HVAC measures, in which potential drops sharply from economic to market because of the assumptions regarding program delivery in the model. </w:t>
      </w:r>
      <w:r w:rsidR="00D27337" w:rsidRPr="007766D4">
        <w:rPr>
          <w:rFonts w:ascii="Times New Roman" w:hAnsi="Times New Roman" w:cs="Times New Roman"/>
        </w:rPr>
        <w:t xml:space="preserve">These aspects of the model generate market potential results that are significantly affected by current and past program designs and delivery mechanisms, </w:t>
      </w:r>
      <w:r w:rsidR="00D27337">
        <w:rPr>
          <w:rFonts w:ascii="Times New Roman" w:hAnsi="Times New Roman" w:cs="Times New Roman"/>
        </w:rPr>
        <w:t xml:space="preserve">which have not yielded adequate levels of savings, </w:t>
      </w:r>
      <w:r w:rsidR="00D27337" w:rsidRPr="007766D4">
        <w:rPr>
          <w:rFonts w:ascii="Times New Roman" w:hAnsi="Times New Roman" w:cs="Times New Roman"/>
        </w:rPr>
        <w:t xml:space="preserve">and as such cannot fully represent </w:t>
      </w:r>
      <w:r w:rsidR="00D27337">
        <w:rPr>
          <w:rFonts w:ascii="Times New Roman" w:hAnsi="Times New Roman" w:cs="Times New Roman"/>
        </w:rPr>
        <w:t xml:space="preserve">future </w:t>
      </w:r>
      <w:r w:rsidR="00D27337" w:rsidRPr="007766D4">
        <w:rPr>
          <w:rFonts w:ascii="Times New Roman" w:hAnsi="Times New Roman" w:cs="Times New Roman"/>
        </w:rPr>
        <w:t>energy efficiency potential in California.</w:t>
      </w:r>
      <w:r w:rsidR="00D27337">
        <w:rPr>
          <w:rStyle w:val="FootnoteReference"/>
          <w:rFonts w:ascii="Times New Roman" w:hAnsi="Times New Roman" w:cs="Times New Roman"/>
        </w:rPr>
        <w:footnoteReference w:id="1"/>
      </w:r>
    </w:p>
    <w:p w14:paraId="4395E7DA" w14:textId="77777777" w:rsidR="00D27337" w:rsidRDefault="00D27337" w:rsidP="00D24EB2">
      <w:pPr>
        <w:spacing w:line="276" w:lineRule="auto"/>
        <w:ind w:left="360" w:firstLine="360"/>
        <w:rPr>
          <w:rFonts w:ascii="Times New Roman" w:hAnsi="Times New Roman" w:cs="Times New Roman"/>
        </w:rPr>
      </w:pPr>
      <w:r>
        <w:rPr>
          <w:rFonts w:ascii="Times New Roman" w:hAnsi="Times New Roman" w:cs="Times New Roman"/>
        </w:rPr>
        <w:t>We appreciate the complexity of the analysis that the contractors are undertaking, but feel a new approach to energy efficiency – similar to general electricity procurement – is warranted.  Constrained as they are by assumptions drawn from current program design and market strategy, the latest potentials analyses have yielded relatively limited market potential (the goals are currently based on market potential rather than the more expansive economic or technical potential).  Goals based upon these analyses will not foster the kind of energy efficiency dynamism that can be relied upon to deliver the magnitude of savings required to not only offset forecast increases in electricity use in CA, but to bend the consumption curve downward.</w:t>
      </w:r>
    </w:p>
    <w:p w14:paraId="2C6FF966" w14:textId="663368DE" w:rsidR="00D27337" w:rsidRPr="00D24EB2" w:rsidRDefault="00D27337" w:rsidP="00D24EB2">
      <w:pPr>
        <w:spacing w:line="276" w:lineRule="auto"/>
        <w:ind w:left="360" w:firstLine="360"/>
        <w:rPr>
          <w:rFonts w:ascii="Times New Roman" w:hAnsi="Times New Roman" w:cs="Times New Roman"/>
          <w:color w:val="0563C1" w:themeColor="hyperlink"/>
          <w:u w:val="single"/>
        </w:rPr>
      </w:pPr>
      <w:r>
        <w:rPr>
          <w:rFonts w:ascii="Times New Roman" w:hAnsi="Times New Roman"/>
        </w:rPr>
        <w:t xml:space="preserve">Because not all kilowatthours saved are the same, it is critical to go beyond aggregate first year savings, and examine how long the savings will last and when the savings will occur.  For instance, a basic screw-in compact florescent lamp (CFL) installed in a kitchen or </w:t>
      </w:r>
      <w:r>
        <w:rPr>
          <w:rFonts w:ascii="Times New Roman" w:hAnsi="Times New Roman"/>
        </w:rPr>
        <w:lastRenderedPageBreak/>
        <w:t xml:space="preserve">living socket will last about 6 years, and provide most of its EE savings on winter evenings when consumers are home and it is dark outside. In contrast, and high efficiency high efficiency windows and attic, wall, and floor insulation lasts 30+ years, and help reduce year round space heating and cooling requirements. </w:t>
      </w:r>
      <w:r>
        <w:rPr>
          <w:rFonts w:ascii="Times New Roman" w:hAnsi="Times New Roman" w:cs="Times New Roman"/>
        </w:rPr>
        <w:t>Easily 30-40% of California’s past decade of EE savings are from some 225+ million CFLs. T</w:t>
      </w:r>
      <w:r w:rsidRPr="00E43F48">
        <w:rPr>
          <w:rFonts w:ascii="Times New Roman" w:hAnsi="Times New Roman" w:cs="Times New Roman"/>
        </w:rPr>
        <w:t xml:space="preserve">he magnitude of global warming means that “you need to do more than change your light bulbs.  You need to change the system that is raising the temperature, the sea level, the extinction rate.” B. McKibben, </w:t>
      </w:r>
      <w:r w:rsidRPr="00E43F48">
        <w:rPr>
          <w:rFonts w:ascii="Times New Roman" w:hAnsi="Times New Roman" w:cs="Times New Roman"/>
          <w:i/>
        </w:rPr>
        <w:t>The Fossil Fuel Resistance</w:t>
      </w:r>
      <w:r w:rsidRPr="00E43F48">
        <w:rPr>
          <w:rFonts w:ascii="Times New Roman" w:hAnsi="Times New Roman" w:cs="Times New Roman"/>
        </w:rPr>
        <w:t xml:space="preserve">, Rolling Stone, April 11, 2013: </w:t>
      </w:r>
      <w:hyperlink r:id="rId8" w:history="1">
        <w:r w:rsidRPr="00E43F48">
          <w:rPr>
            <w:rStyle w:val="Hyperlink"/>
            <w:rFonts w:ascii="Times New Roman" w:hAnsi="Times New Roman" w:cs="Times New Roman"/>
          </w:rPr>
          <w:t>http://www.rollingstone.com/politics/news/the-fossil-fuel-resistance-20130411</w:t>
        </w:r>
      </w:hyperlink>
      <w:r w:rsidR="00D24EB2">
        <w:rPr>
          <w:rFonts w:ascii="Times New Roman" w:hAnsi="Times New Roman" w:cs="Times New Roman"/>
          <w:shd w:val="clear" w:color="auto" w:fill="FFFFFF"/>
        </w:rPr>
        <w:t>”</w:t>
      </w:r>
    </w:p>
    <w:p w14:paraId="2983E286" w14:textId="77777777" w:rsidR="00D27337" w:rsidRDefault="00D27337" w:rsidP="00D27337">
      <w:pPr>
        <w:spacing w:line="276" w:lineRule="auto"/>
        <w:ind w:firstLine="360"/>
        <w:rPr>
          <w:rFonts w:ascii="Times New Roman" w:hAnsi="Times New Roman" w:cs="Times New Roman"/>
        </w:rPr>
      </w:pPr>
    </w:p>
    <w:p w14:paraId="2F9F91E8" w14:textId="382D280C" w:rsidR="00593D4D" w:rsidRDefault="00B55C53" w:rsidP="003977F9">
      <w:pPr>
        <w:widowControl w:val="0"/>
        <w:autoSpaceDE w:val="0"/>
        <w:autoSpaceDN w:val="0"/>
        <w:adjustRightInd w:val="0"/>
        <w:spacing w:line="360" w:lineRule="auto"/>
        <w:ind w:firstLine="360"/>
        <w:rPr>
          <w:rFonts w:ascii="Times New Roman" w:hAnsi="Times New Roman" w:cs="Times New Roman"/>
        </w:rPr>
      </w:pPr>
      <w:r>
        <w:rPr>
          <w:rFonts w:ascii="Times New Roman" w:hAnsi="Times New Roman" w:cs="Times New Roman"/>
        </w:rPr>
        <w:t xml:space="preserve">The </w:t>
      </w:r>
      <w:r w:rsidR="00593D4D">
        <w:rPr>
          <w:rFonts w:ascii="Times New Roman" w:hAnsi="Times New Roman" w:cs="Times New Roman"/>
        </w:rPr>
        <w:t xml:space="preserve">SB 350 </w:t>
      </w:r>
      <w:r>
        <w:rPr>
          <w:rFonts w:ascii="Times New Roman" w:hAnsi="Times New Roman" w:cs="Times New Roman"/>
        </w:rPr>
        <w:t xml:space="preserve">requirement to </w:t>
      </w:r>
      <w:r w:rsidR="00593D4D">
        <w:rPr>
          <w:rFonts w:ascii="Times New Roman" w:hAnsi="Times New Roman" w:cs="Times New Roman"/>
        </w:rPr>
        <w:t>doubl</w:t>
      </w:r>
      <w:r>
        <w:rPr>
          <w:rFonts w:ascii="Times New Roman" w:hAnsi="Times New Roman" w:cs="Times New Roman"/>
        </w:rPr>
        <w:t>e</w:t>
      </w:r>
      <w:r w:rsidR="00593D4D">
        <w:rPr>
          <w:rFonts w:ascii="Times New Roman" w:hAnsi="Times New Roman" w:cs="Times New Roman"/>
        </w:rPr>
        <w:t xml:space="preserve"> efficiency savings </w:t>
      </w:r>
      <w:r>
        <w:rPr>
          <w:rFonts w:ascii="Times New Roman" w:hAnsi="Times New Roman" w:cs="Times New Roman"/>
        </w:rPr>
        <w:t xml:space="preserve">is to contribute to CA’s overall climate-GHG reduction policies/targets. Achieving this objective will require a major paradigm shift in California’s long standing approach to energy efficiency. </w:t>
      </w:r>
      <w:r w:rsidR="00D24EB2">
        <w:rPr>
          <w:rFonts w:ascii="Times New Roman" w:hAnsi="Times New Roman" w:cs="Times New Roman"/>
        </w:rPr>
        <w:t xml:space="preserve">TURN </w:t>
      </w:r>
      <w:r w:rsidR="001C7249">
        <w:rPr>
          <w:rFonts w:ascii="Times New Roman" w:hAnsi="Times New Roman" w:cs="Times New Roman"/>
        </w:rPr>
        <w:t>applauds the</w:t>
      </w:r>
      <w:r w:rsidR="00D24EB2">
        <w:rPr>
          <w:rFonts w:ascii="Times New Roman" w:hAnsi="Times New Roman" w:cs="Times New Roman"/>
        </w:rPr>
        <w:t xml:space="preserve"> shift to net cumulative goals</w:t>
      </w:r>
      <w:r w:rsidR="001C7249">
        <w:rPr>
          <w:rFonts w:ascii="Times New Roman" w:hAnsi="Times New Roman" w:cs="Times New Roman"/>
        </w:rPr>
        <w:t xml:space="preserve"> in D.16-08-019 </w:t>
      </w:r>
      <w:r w:rsidR="003977F9">
        <w:rPr>
          <w:rFonts w:ascii="Times New Roman" w:hAnsi="Times New Roman" w:cs="Times New Roman"/>
        </w:rPr>
        <w:t xml:space="preserve">as the singular most important change in recent Commission policy to more readily align energy efficiency with SB 350 and the state’s climate policies. </w:t>
      </w:r>
      <w:bookmarkStart w:id="0" w:name="_GoBack"/>
      <w:bookmarkEnd w:id="0"/>
      <w:r w:rsidR="003977F9">
        <w:rPr>
          <w:rFonts w:ascii="Times New Roman" w:hAnsi="Times New Roman" w:cs="Times New Roman"/>
        </w:rPr>
        <w:t xml:space="preserve">Without rearguing stakeholder concerns with the perceived circular and restrictive nature of model calibration raised in </w:t>
      </w:r>
      <w:r w:rsidR="003977F9">
        <w:rPr>
          <w:rFonts w:ascii="Times New Roman" w:hAnsi="Times New Roman" w:cs="Times New Roman"/>
        </w:rPr>
        <w:t>R</w:t>
      </w:r>
      <w:r w:rsidR="003977F9">
        <w:rPr>
          <w:rFonts w:ascii="Times New Roman" w:hAnsi="Times New Roman" w:cs="Times New Roman"/>
        </w:rPr>
        <w:t>.</w:t>
      </w:r>
      <w:r w:rsidR="003977F9">
        <w:rPr>
          <w:rFonts w:ascii="Times New Roman" w:hAnsi="Times New Roman" w:cs="Times New Roman"/>
        </w:rPr>
        <w:t xml:space="preserve"> 13-11-005</w:t>
      </w:r>
      <w:r w:rsidR="003977F9">
        <w:rPr>
          <w:rFonts w:ascii="Times New Roman" w:hAnsi="Times New Roman" w:cs="Times New Roman"/>
        </w:rPr>
        <w:t xml:space="preserve"> regarding post-2014 energy efficiency goals and rejected in D.15-10-028 (p. 20) based on conceptual modeling issues, TURN recommends that there are</w:t>
      </w:r>
      <w:r w:rsidR="00D24EB2">
        <w:rPr>
          <w:rFonts w:ascii="Times New Roman" w:hAnsi="Times New Roman" w:cs="Times New Roman"/>
        </w:rPr>
        <w:t xml:space="preserve"> </w:t>
      </w:r>
      <w:r w:rsidR="00593D4D">
        <w:rPr>
          <w:rFonts w:ascii="Times New Roman" w:hAnsi="Times New Roman" w:cs="Times New Roman"/>
        </w:rPr>
        <w:t xml:space="preserve">two foundational policy matters that should be </w:t>
      </w:r>
      <w:r w:rsidR="003977F9">
        <w:rPr>
          <w:rFonts w:ascii="Times New Roman" w:hAnsi="Times New Roman" w:cs="Times New Roman"/>
        </w:rPr>
        <w:t xml:space="preserve">noted in the potentials study, and considered in the setting of goals, that will most likely not be reflected or captured in the final market achievable results. </w:t>
      </w:r>
    </w:p>
    <w:p w14:paraId="17AD4AD3" w14:textId="77777777" w:rsidR="00AC4065" w:rsidRDefault="00B55C53" w:rsidP="003977F9">
      <w:pPr>
        <w:spacing w:line="360" w:lineRule="auto"/>
        <w:ind w:firstLine="360"/>
        <w:rPr>
          <w:rFonts w:ascii="Times New Roman" w:hAnsi="Times New Roman" w:cs="Times New Roman"/>
        </w:rPr>
      </w:pPr>
      <w:r>
        <w:rPr>
          <w:rFonts w:ascii="Times New Roman" w:hAnsi="Times New Roman" w:cs="Times New Roman"/>
        </w:rPr>
        <w:t xml:space="preserve">First, California needs longer lived lifecycle energy savings. </w:t>
      </w:r>
      <w:r w:rsidR="00670231">
        <w:rPr>
          <w:rFonts w:ascii="Times New Roman" w:hAnsi="Times New Roman" w:cs="Times New Roman"/>
        </w:rPr>
        <w:t xml:space="preserve">A reasonable initial target would be </w:t>
      </w:r>
      <w:r w:rsidR="00593D4D" w:rsidRPr="00B55C53">
        <w:rPr>
          <w:rFonts w:ascii="Times New Roman" w:hAnsi="Times New Roman" w:cs="Times New Roman"/>
        </w:rPr>
        <w:t xml:space="preserve">10 average </w:t>
      </w:r>
      <w:r w:rsidR="00670231">
        <w:rPr>
          <w:rFonts w:ascii="Times New Roman" w:hAnsi="Times New Roman" w:cs="Times New Roman"/>
        </w:rPr>
        <w:t xml:space="preserve">lifecycle savings or energy useful life (EUL). This works </w:t>
      </w:r>
      <w:r w:rsidR="00593D4D" w:rsidRPr="00B55C53">
        <w:rPr>
          <w:rFonts w:ascii="Times New Roman" w:hAnsi="Times New Roman" w:cs="Times New Roman"/>
        </w:rPr>
        <w:t xml:space="preserve">nicely with </w:t>
      </w:r>
      <w:r w:rsidR="00670231">
        <w:rPr>
          <w:rFonts w:ascii="Times New Roman" w:hAnsi="Times New Roman" w:cs="Times New Roman"/>
        </w:rPr>
        <w:t xml:space="preserve">the CEC’s 10-year </w:t>
      </w:r>
      <w:r w:rsidR="00593D4D" w:rsidRPr="00B55C53">
        <w:rPr>
          <w:rFonts w:ascii="Times New Roman" w:hAnsi="Times New Roman" w:cs="Times New Roman"/>
        </w:rPr>
        <w:t xml:space="preserve">forecast horizon. </w:t>
      </w:r>
      <w:r w:rsidR="00670231">
        <w:rPr>
          <w:rFonts w:ascii="Times New Roman" w:hAnsi="Times New Roman" w:cs="Times New Roman"/>
        </w:rPr>
        <w:t xml:space="preserve">Portfolio cost-effectiveness should be subject to a </w:t>
      </w:r>
      <w:r w:rsidR="00AC4065">
        <w:rPr>
          <w:rFonts w:ascii="Times New Roman" w:hAnsi="Times New Roman" w:cs="Times New Roman"/>
        </w:rPr>
        <w:t>10-</w:t>
      </w:r>
      <w:r w:rsidR="00670231">
        <w:rPr>
          <w:rFonts w:ascii="Times New Roman" w:hAnsi="Times New Roman" w:cs="Times New Roman"/>
        </w:rPr>
        <w:t xml:space="preserve">year lifecycle average measure mix. </w:t>
      </w:r>
    </w:p>
    <w:p w14:paraId="6E1C3673" w14:textId="4D43049C" w:rsidR="00593D4D" w:rsidRDefault="00AC4065" w:rsidP="003977F9">
      <w:pPr>
        <w:spacing w:line="360" w:lineRule="auto"/>
        <w:ind w:firstLine="360"/>
        <w:rPr>
          <w:rFonts w:ascii="Times New Roman" w:hAnsi="Times New Roman" w:cs="Times New Roman"/>
        </w:rPr>
      </w:pPr>
      <w:r>
        <w:rPr>
          <w:rFonts w:ascii="Times New Roman" w:hAnsi="Times New Roman" w:cs="Times New Roman"/>
        </w:rPr>
        <w:t>Second, going forward initially, annual savings goals should be lower</w:t>
      </w:r>
      <w:r w:rsidR="003977F9">
        <w:rPr>
          <w:rFonts w:ascii="Times New Roman" w:hAnsi="Times New Roman" w:cs="Times New Roman"/>
        </w:rPr>
        <w:t xml:space="preserve"> than historic so that  Program </w:t>
      </w:r>
      <w:r>
        <w:rPr>
          <w:rFonts w:ascii="Times New Roman" w:hAnsi="Times New Roman" w:cs="Times New Roman"/>
        </w:rPr>
        <w:t xml:space="preserve">Administrators (PAs) can make meaningful adjustments to </w:t>
      </w:r>
      <w:r w:rsidRPr="00AC4065">
        <w:rPr>
          <w:rFonts w:ascii="Times New Roman" w:hAnsi="Times New Roman" w:cs="Times New Roman"/>
        </w:rPr>
        <w:t xml:space="preserve">portfolio </w:t>
      </w:r>
      <w:r w:rsidR="0049585B">
        <w:rPr>
          <w:rFonts w:ascii="Times New Roman" w:hAnsi="Times New Roman" w:cs="Times New Roman"/>
        </w:rPr>
        <w:t xml:space="preserve">measure mix to achieve </w:t>
      </w:r>
      <w:r>
        <w:rPr>
          <w:rFonts w:ascii="Times New Roman" w:hAnsi="Times New Roman" w:cs="Times New Roman"/>
        </w:rPr>
        <w:t xml:space="preserve">longer lived savings. </w:t>
      </w:r>
      <w:r w:rsidR="0049585B">
        <w:rPr>
          <w:rFonts w:ascii="Times New Roman" w:hAnsi="Times New Roman" w:cs="Times New Roman"/>
        </w:rPr>
        <w:t xml:space="preserve">The most notable example is </w:t>
      </w:r>
      <w:r>
        <w:rPr>
          <w:rFonts w:ascii="Times New Roman" w:hAnsi="Times New Roman" w:cs="Times New Roman"/>
        </w:rPr>
        <w:t xml:space="preserve">moving the key measure mix in lighting from CFLs and LFs to LEDs. The counting of PA achievements and </w:t>
      </w:r>
      <w:r w:rsidR="00593D4D" w:rsidRPr="00AC4065">
        <w:rPr>
          <w:rFonts w:ascii="Times New Roman" w:hAnsi="Times New Roman" w:cs="Times New Roman"/>
        </w:rPr>
        <w:t>com</w:t>
      </w:r>
      <w:r>
        <w:rPr>
          <w:rFonts w:ascii="Times New Roman" w:hAnsi="Times New Roman" w:cs="Times New Roman"/>
        </w:rPr>
        <w:t xml:space="preserve">pensation should be adjusted to align with goals that over time result in </w:t>
      </w:r>
      <w:r w:rsidR="0049585B">
        <w:rPr>
          <w:rFonts w:ascii="Times New Roman" w:hAnsi="Times New Roman" w:cs="Times New Roman"/>
        </w:rPr>
        <w:t>longer lived savings that contribute to SB 350.</w:t>
      </w:r>
    </w:p>
    <w:p w14:paraId="54B14D44" w14:textId="77777777" w:rsidR="00D24EB2" w:rsidRDefault="00D24EB2" w:rsidP="0049585B">
      <w:pPr>
        <w:spacing w:line="276" w:lineRule="auto"/>
        <w:ind w:firstLine="360"/>
        <w:rPr>
          <w:rFonts w:ascii="Times New Roman" w:hAnsi="Times New Roman" w:cs="Times New Roman"/>
        </w:rPr>
      </w:pPr>
    </w:p>
    <w:p w14:paraId="009BAA79" w14:textId="77777777" w:rsidR="00593D4D" w:rsidRDefault="00593D4D" w:rsidP="00593D4D">
      <w:pPr>
        <w:rPr>
          <w:rFonts w:ascii="Times New Roman" w:hAnsi="Times New Roman" w:cs="Times New Roman"/>
        </w:rPr>
      </w:pPr>
    </w:p>
    <w:p w14:paraId="6EE79E66" w14:textId="77777777" w:rsidR="0010705F" w:rsidRDefault="0010705F"/>
    <w:sectPr w:rsidR="0010705F" w:rsidSect="004D0799">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F30C2" w14:textId="77777777" w:rsidR="0016462F" w:rsidRDefault="0016462F" w:rsidP="00593D4D">
      <w:r>
        <w:separator/>
      </w:r>
    </w:p>
  </w:endnote>
  <w:endnote w:type="continuationSeparator" w:id="0">
    <w:p w14:paraId="4D562D71" w14:textId="77777777" w:rsidR="0016462F" w:rsidRDefault="0016462F" w:rsidP="00593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0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auto"/>
    <w:pitch w:val="variable"/>
    <w:sig w:usb0="E00002FF" w:usb1="4000ACFF" w:usb2="00000001" w:usb3="00000000" w:csb0="0000019F" w:csb1="00000000"/>
  </w:font>
  <w:font w:name="Arial">
    <w:altName w:val="Helvetica"/>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CDF6D1" w14:textId="77777777" w:rsidR="003977F9" w:rsidRDefault="003977F9" w:rsidP="00EB6588">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675FAB" w14:textId="77777777" w:rsidR="003977F9" w:rsidRDefault="003977F9" w:rsidP="003977F9">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23ABC7" w14:textId="77777777" w:rsidR="003977F9" w:rsidRDefault="003977F9" w:rsidP="00EB6588">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6462F">
      <w:rPr>
        <w:rStyle w:val="PageNumber"/>
        <w:noProof/>
      </w:rPr>
      <w:t>1</w:t>
    </w:r>
    <w:r>
      <w:rPr>
        <w:rStyle w:val="PageNumber"/>
      </w:rPr>
      <w:fldChar w:fldCharType="end"/>
    </w:r>
  </w:p>
  <w:p w14:paraId="484DDCFD" w14:textId="77777777" w:rsidR="003977F9" w:rsidRDefault="003977F9" w:rsidP="003977F9">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14E23" w14:textId="77777777" w:rsidR="0016462F" w:rsidRDefault="0016462F" w:rsidP="00593D4D">
      <w:r>
        <w:separator/>
      </w:r>
    </w:p>
  </w:footnote>
  <w:footnote w:type="continuationSeparator" w:id="0">
    <w:p w14:paraId="21B37D28" w14:textId="77777777" w:rsidR="0016462F" w:rsidRDefault="0016462F" w:rsidP="00593D4D">
      <w:r>
        <w:continuationSeparator/>
      </w:r>
    </w:p>
  </w:footnote>
  <w:footnote w:id="1">
    <w:p w14:paraId="7D65CAB2" w14:textId="6B7CB049" w:rsidR="00D27337" w:rsidRDefault="00D27337" w:rsidP="00D27337">
      <w:pPr>
        <w:rPr>
          <w:rFonts w:ascii="Times New Roman" w:hAnsi="Times New Roman" w:cs="Times New Roman"/>
          <w:sz w:val="20"/>
          <w:szCs w:val="20"/>
        </w:rPr>
      </w:pPr>
      <w:r w:rsidRPr="00D27337">
        <w:rPr>
          <w:rStyle w:val="FootnoteReference"/>
          <w:sz w:val="20"/>
          <w:szCs w:val="20"/>
        </w:rPr>
        <w:footnoteRef/>
      </w:r>
      <w:r w:rsidRPr="00D27337">
        <w:rPr>
          <w:sz w:val="20"/>
          <w:szCs w:val="20"/>
        </w:rPr>
        <w:t xml:space="preserve"> </w:t>
      </w:r>
      <w:r w:rsidRPr="00D27337">
        <w:rPr>
          <w:rFonts w:ascii="Times New Roman" w:hAnsi="Times New Roman" w:cs="Times New Roman"/>
          <w:sz w:val="20"/>
          <w:szCs w:val="20"/>
        </w:rPr>
        <w:t>TURN Informal Comments re. Current Potentials and Goals Study April 23, 2013</w:t>
      </w:r>
      <w:r>
        <w:rPr>
          <w:rFonts w:ascii="Times New Roman" w:hAnsi="Times New Roman" w:cs="Times New Roman"/>
          <w:sz w:val="20"/>
          <w:szCs w:val="20"/>
        </w:rPr>
        <w:t xml:space="preserve">. </w:t>
      </w:r>
    </w:p>
    <w:p w14:paraId="0A4165B0" w14:textId="77777777" w:rsidR="00D27337" w:rsidRPr="00D27337" w:rsidRDefault="00D27337" w:rsidP="00D27337">
      <w:pPr>
        <w:rPr>
          <w:rFonts w:ascii="Times New Roman" w:hAnsi="Times New Roman" w:cs="Times New Roman"/>
          <w:sz w:val="20"/>
          <w:szCs w:val="20"/>
        </w:rPr>
      </w:pPr>
    </w:p>
    <w:p w14:paraId="38889FC2" w14:textId="15AFD4D5" w:rsidR="00D27337" w:rsidRDefault="00D27337">
      <w:pPr>
        <w:pStyle w:val="FootnoteText"/>
      </w:pP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31055B"/>
    <w:multiLevelType w:val="hybridMultilevel"/>
    <w:tmpl w:val="5554C8B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C3C7EB7"/>
    <w:multiLevelType w:val="hybridMultilevel"/>
    <w:tmpl w:val="EB047A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9D1379"/>
    <w:multiLevelType w:val="hybridMultilevel"/>
    <w:tmpl w:val="B700E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D4D"/>
    <w:rsid w:val="0010705F"/>
    <w:rsid w:val="0016462F"/>
    <w:rsid w:val="0016469B"/>
    <w:rsid w:val="001C7249"/>
    <w:rsid w:val="001E4BDE"/>
    <w:rsid w:val="003129D6"/>
    <w:rsid w:val="003977F9"/>
    <w:rsid w:val="0049585B"/>
    <w:rsid w:val="004D0799"/>
    <w:rsid w:val="00552471"/>
    <w:rsid w:val="00593D4D"/>
    <w:rsid w:val="00670231"/>
    <w:rsid w:val="0075565F"/>
    <w:rsid w:val="00AC4065"/>
    <w:rsid w:val="00B55C53"/>
    <w:rsid w:val="00B82BDB"/>
    <w:rsid w:val="00C84EA8"/>
    <w:rsid w:val="00D24EB2"/>
    <w:rsid w:val="00D27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8574699"/>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D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3D4D"/>
    <w:pPr>
      <w:ind w:left="720"/>
      <w:contextualSpacing/>
    </w:pPr>
  </w:style>
  <w:style w:type="paragraph" w:styleId="FootnoteText">
    <w:name w:val="footnote text"/>
    <w:aliases w:val="Footnote Text Char1,Footnote Text Char Char,Footnote Text Char2 Char,Footnote Text Char Char Char,Footnote Text Char2 Char Char Char,Footnote Text Char Char Char Char Char,Footnote Text Char2 Char Char Char Char1 Char,fn,Char2 Char,f"/>
    <w:basedOn w:val="Normal"/>
    <w:link w:val="FootnoteTextChar"/>
    <w:uiPriority w:val="99"/>
    <w:unhideWhenUsed/>
    <w:rsid w:val="00593D4D"/>
  </w:style>
  <w:style w:type="character" w:customStyle="1" w:styleId="FootnoteTextChar">
    <w:name w:val="Footnote Text Char"/>
    <w:aliases w:val="Footnote Text Char1 Char,Footnote Text Char Char Char1,Footnote Text Char2 Char Char,Footnote Text Char Char Char Char,Footnote Text Char2 Char Char Char Char,Footnote Text Char Char Char Char Char Char,fn Char,Char2 Char Char,f Char"/>
    <w:basedOn w:val="DefaultParagraphFont"/>
    <w:link w:val="FootnoteText"/>
    <w:uiPriority w:val="99"/>
    <w:rsid w:val="00593D4D"/>
  </w:style>
  <w:style w:type="character" w:styleId="FootnoteReference">
    <w:name w:val="footnote reference"/>
    <w:aliases w:val="o,fr,o1,o2,o3,o4,o5,o6,o11,o21,o7"/>
    <w:basedOn w:val="DefaultParagraphFont"/>
    <w:uiPriority w:val="99"/>
    <w:unhideWhenUsed/>
    <w:rsid w:val="00593D4D"/>
    <w:rPr>
      <w:vertAlign w:val="superscript"/>
    </w:rPr>
  </w:style>
  <w:style w:type="character" w:styleId="Hyperlink">
    <w:name w:val="Hyperlink"/>
    <w:basedOn w:val="DefaultParagraphFont"/>
    <w:uiPriority w:val="99"/>
    <w:unhideWhenUsed/>
    <w:rsid w:val="00D27337"/>
    <w:rPr>
      <w:color w:val="0563C1" w:themeColor="hyperlink"/>
      <w:u w:val="single"/>
    </w:rPr>
  </w:style>
  <w:style w:type="paragraph" w:styleId="Footer">
    <w:name w:val="footer"/>
    <w:basedOn w:val="Normal"/>
    <w:link w:val="FooterChar"/>
    <w:uiPriority w:val="99"/>
    <w:unhideWhenUsed/>
    <w:rsid w:val="003977F9"/>
    <w:pPr>
      <w:tabs>
        <w:tab w:val="center" w:pos="4680"/>
        <w:tab w:val="right" w:pos="9360"/>
      </w:tabs>
    </w:pPr>
  </w:style>
  <w:style w:type="character" w:customStyle="1" w:styleId="FooterChar">
    <w:name w:val="Footer Char"/>
    <w:basedOn w:val="DefaultParagraphFont"/>
    <w:link w:val="Footer"/>
    <w:uiPriority w:val="99"/>
    <w:rsid w:val="003977F9"/>
  </w:style>
  <w:style w:type="character" w:styleId="PageNumber">
    <w:name w:val="page number"/>
    <w:basedOn w:val="DefaultParagraphFont"/>
    <w:uiPriority w:val="99"/>
    <w:semiHidden/>
    <w:unhideWhenUsed/>
    <w:rsid w:val="00397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rollingstone.com/politics/news/the-fossil-fuel-resistance-20130411" TargetMode="Externa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02C5944-E6EF-2D4A-84EA-0BB66044A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Pages>
  <Words>765</Words>
  <Characters>4365</Characters>
  <Application>Microsoft Macintosh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dcterms:created xsi:type="dcterms:W3CDTF">2016-12-19T19:58:00Z</dcterms:created>
  <dcterms:modified xsi:type="dcterms:W3CDTF">2016-12-20T20:57:00Z</dcterms:modified>
</cp:coreProperties>
</file>