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A2DC" w14:textId="1D95EDCE" w:rsidR="00FA66DA" w:rsidRPr="003E7352" w:rsidRDefault="0092270A" w:rsidP="009E53DF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3E7352">
        <w:rPr>
          <w:rFonts w:ascii="Garamond" w:hAnsi="Garamond"/>
          <w:sz w:val="24"/>
          <w:szCs w:val="24"/>
        </w:rPr>
        <w:t xml:space="preserve">On </w:t>
      </w:r>
      <w:r w:rsidR="004163C8">
        <w:rPr>
          <w:rFonts w:ascii="Garamond" w:hAnsi="Garamond"/>
          <w:sz w:val="24"/>
          <w:szCs w:val="24"/>
        </w:rPr>
        <w:t>March 3</w:t>
      </w:r>
      <w:r w:rsidR="00401002" w:rsidRPr="003E7352">
        <w:rPr>
          <w:rFonts w:ascii="Garamond" w:hAnsi="Garamond"/>
          <w:sz w:val="24"/>
          <w:szCs w:val="24"/>
        </w:rPr>
        <w:t>, 202</w:t>
      </w:r>
      <w:r w:rsidR="004163C8">
        <w:rPr>
          <w:rFonts w:ascii="Garamond" w:hAnsi="Garamond"/>
          <w:sz w:val="24"/>
          <w:szCs w:val="24"/>
        </w:rPr>
        <w:t>3</w:t>
      </w:r>
      <w:r w:rsidR="00AB66E1" w:rsidRPr="003E7352">
        <w:rPr>
          <w:rFonts w:ascii="Garamond" w:hAnsi="Garamond"/>
          <w:sz w:val="24"/>
          <w:szCs w:val="24"/>
        </w:rPr>
        <w:t>,</w:t>
      </w:r>
      <w:r w:rsidR="00401002" w:rsidRPr="003E7352">
        <w:rPr>
          <w:rFonts w:ascii="Garamond" w:hAnsi="Garamond"/>
          <w:sz w:val="24"/>
          <w:szCs w:val="24"/>
        </w:rPr>
        <w:t xml:space="preserve"> </w:t>
      </w:r>
      <w:r w:rsidRPr="003E7352">
        <w:rPr>
          <w:rFonts w:ascii="Garamond" w:hAnsi="Garamond"/>
          <w:sz w:val="24"/>
          <w:szCs w:val="24"/>
        </w:rPr>
        <w:t xml:space="preserve">the </w:t>
      </w:r>
      <w:r w:rsidR="00ED53A1" w:rsidRPr="003E7352">
        <w:rPr>
          <w:rFonts w:ascii="Garamond" w:hAnsi="Garamond"/>
          <w:sz w:val="24"/>
          <w:szCs w:val="24"/>
        </w:rPr>
        <w:t xml:space="preserve">CPUC </w:t>
      </w:r>
      <w:r w:rsidR="00401002" w:rsidRPr="003E7352">
        <w:rPr>
          <w:rFonts w:ascii="Garamond" w:hAnsi="Garamond"/>
          <w:sz w:val="24"/>
          <w:szCs w:val="24"/>
        </w:rPr>
        <w:t xml:space="preserve">released a proposed decision </w:t>
      </w:r>
      <w:r w:rsidR="00DF4126" w:rsidRPr="003E7352">
        <w:rPr>
          <w:rFonts w:ascii="Garamond" w:hAnsi="Garamond"/>
          <w:sz w:val="24"/>
          <w:szCs w:val="24"/>
        </w:rPr>
        <w:t xml:space="preserve">(PD) </w:t>
      </w:r>
      <w:r w:rsidR="004163C8">
        <w:rPr>
          <w:rFonts w:ascii="Garamond" w:hAnsi="Garamond"/>
          <w:sz w:val="24"/>
          <w:szCs w:val="24"/>
        </w:rPr>
        <w:t xml:space="preserve">on reform of </w:t>
      </w:r>
      <w:r w:rsidR="004163C8" w:rsidRPr="003E7352">
        <w:rPr>
          <w:rFonts w:ascii="Garamond" w:hAnsi="Garamond"/>
          <w:sz w:val="24"/>
          <w:szCs w:val="24"/>
        </w:rPr>
        <w:t xml:space="preserve">the </w:t>
      </w:r>
      <w:r w:rsidR="004163C8">
        <w:rPr>
          <w:rFonts w:ascii="Garamond" w:hAnsi="Garamond"/>
          <w:sz w:val="24"/>
          <w:szCs w:val="24"/>
        </w:rPr>
        <w:t>resource adequacy (</w:t>
      </w:r>
      <w:r w:rsidR="004163C8" w:rsidRPr="003E7352">
        <w:rPr>
          <w:rFonts w:ascii="Garamond" w:hAnsi="Garamond"/>
          <w:sz w:val="24"/>
          <w:szCs w:val="24"/>
        </w:rPr>
        <w:t>RA</w:t>
      </w:r>
      <w:r w:rsidR="004163C8">
        <w:rPr>
          <w:rFonts w:ascii="Garamond" w:hAnsi="Garamond"/>
          <w:sz w:val="24"/>
          <w:szCs w:val="24"/>
        </w:rPr>
        <w:t>)</w:t>
      </w:r>
      <w:r w:rsidR="004163C8" w:rsidRPr="003E7352">
        <w:rPr>
          <w:rFonts w:ascii="Garamond" w:hAnsi="Garamond"/>
          <w:sz w:val="24"/>
          <w:szCs w:val="24"/>
        </w:rPr>
        <w:t xml:space="preserve"> program</w:t>
      </w:r>
      <w:r w:rsidR="004C580C">
        <w:rPr>
          <w:rFonts w:ascii="Garamond" w:hAnsi="Garamond"/>
          <w:sz w:val="24"/>
          <w:szCs w:val="24"/>
        </w:rPr>
        <w:t xml:space="preserve"> ahead of the 2024 test year</w:t>
      </w:r>
      <w:r w:rsidR="004163C8">
        <w:rPr>
          <w:rFonts w:ascii="Garamond" w:hAnsi="Garamond"/>
          <w:sz w:val="24"/>
          <w:szCs w:val="24"/>
        </w:rPr>
        <w:t xml:space="preserve">. The PD </w:t>
      </w:r>
      <w:r w:rsidR="004163C8" w:rsidRPr="003E7352">
        <w:rPr>
          <w:rFonts w:ascii="Garamond" w:hAnsi="Garamond"/>
          <w:sz w:val="24"/>
          <w:szCs w:val="24"/>
        </w:rPr>
        <w:t>adopt</w:t>
      </w:r>
      <w:r w:rsidR="004163C8">
        <w:rPr>
          <w:rFonts w:ascii="Garamond" w:hAnsi="Garamond"/>
          <w:sz w:val="24"/>
          <w:szCs w:val="24"/>
        </w:rPr>
        <w:t>s</w:t>
      </w:r>
      <w:r w:rsidR="004163C8" w:rsidRPr="003E7352">
        <w:rPr>
          <w:rFonts w:ascii="Garamond" w:hAnsi="Garamond"/>
          <w:sz w:val="24"/>
          <w:szCs w:val="24"/>
        </w:rPr>
        <w:t xml:space="preserve"> </w:t>
      </w:r>
      <w:r w:rsidR="004163C8">
        <w:rPr>
          <w:rFonts w:ascii="Garamond" w:hAnsi="Garamond"/>
          <w:sz w:val="24"/>
          <w:szCs w:val="24"/>
        </w:rPr>
        <w:t>implementation details for</w:t>
      </w:r>
      <w:r w:rsidR="00AB66E1" w:rsidRPr="003E7352">
        <w:rPr>
          <w:rFonts w:ascii="Garamond" w:hAnsi="Garamond"/>
          <w:sz w:val="24"/>
          <w:szCs w:val="24"/>
        </w:rPr>
        <w:t xml:space="preserve"> </w:t>
      </w:r>
      <w:r w:rsidR="009F0975">
        <w:rPr>
          <w:rFonts w:ascii="Garamond" w:hAnsi="Garamond"/>
          <w:sz w:val="24"/>
          <w:szCs w:val="24"/>
        </w:rPr>
        <w:t xml:space="preserve">the </w:t>
      </w:r>
      <w:r w:rsidR="00AB66E1" w:rsidRPr="003E7352">
        <w:rPr>
          <w:rFonts w:ascii="Garamond" w:hAnsi="Garamond"/>
          <w:sz w:val="24"/>
          <w:szCs w:val="24"/>
        </w:rPr>
        <w:t>24-hour slice</w:t>
      </w:r>
      <w:r w:rsidR="004C580C">
        <w:rPr>
          <w:rFonts w:ascii="Garamond" w:hAnsi="Garamond"/>
          <w:sz w:val="24"/>
          <w:szCs w:val="24"/>
        </w:rPr>
        <w:t xml:space="preserve"> </w:t>
      </w:r>
      <w:r w:rsidR="004163C8">
        <w:rPr>
          <w:rFonts w:ascii="Garamond" w:hAnsi="Garamond"/>
          <w:sz w:val="24"/>
          <w:szCs w:val="24"/>
        </w:rPr>
        <w:t>of</w:t>
      </w:r>
      <w:r w:rsidR="004C580C">
        <w:rPr>
          <w:rFonts w:ascii="Garamond" w:hAnsi="Garamond"/>
          <w:sz w:val="24"/>
          <w:szCs w:val="24"/>
        </w:rPr>
        <w:t xml:space="preserve"> </w:t>
      </w:r>
      <w:r w:rsidR="004163C8">
        <w:rPr>
          <w:rFonts w:ascii="Garamond" w:hAnsi="Garamond"/>
          <w:sz w:val="24"/>
          <w:szCs w:val="24"/>
        </w:rPr>
        <w:t>day (SOD)</w:t>
      </w:r>
      <w:r w:rsidR="00AB66E1" w:rsidRPr="003E7352">
        <w:rPr>
          <w:rFonts w:ascii="Garamond" w:hAnsi="Garamond"/>
          <w:sz w:val="24"/>
          <w:szCs w:val="24"/>
        </w:rPr>
        <w:t xml:space="preserve"> </w:t>
      </w:r>
      <w:r w:rsidR="003927A6" w:rsidRPr="003E7352">
        <w:rPr>
          <w:rFonts w:ascii="Garamond" w:hAnsi="Garamond"/>
          <w:sz w:val="24"/>
          <w:szCs w:val="24"/>
        </w:rPr>
        <w:t xml:space="preserve">framework </w:t>
      </w:r>
      <w:r w:rsidR="004163C8" w:rsidRPr="004163C8">
        <w:rPr>
          <w:rFonts w:ascii="Garamond" w:hAnsi="Garamond"/>
          <w:sz w:val="24"/>
          <w:szCs w:val="24"/>
        </w:rPr>
        <w:t xml:space="preserve">including compliance tools, resource counting rules for various resource types, and a methodology to translate the </w:t>
      </w:r>
      <w:r w:rsidR="009F0975">
        <w:rPr>
          <w:rFonts w:ascii="Garamond" w:hAnsi="Garamond"/>
          <w:sz w:val="24"/>
          <w:szCs w:val="24"/>
        </w:rPr>
        <w:t>p</w:t>
      </w:r>
      <w:r w:rsidR="004163C8" w:rsidRPr="004163C8">
        <w:rPr>
          <w:rFonts w:ascii="Garamond" w:hAnsi="Garamond"/>
          <w:sz w:val="24"/>
          <w:szCs w:val="24"/>
        </w:rPr>
        <w:t xml:space="preserve">lanning </w:t>
      </w:r>
      <w:r w:rsidR="009F0975">
        <w:rPr>
          <w:rFonts w:ascii="Garamond" w:hAnsi="Garamond"/>
          <w:sz w:val="24"/>
          <w:szCs w:val="24"/>
        </w:rPr>
        <w:t>r</w:t>
      </w:r>
      <w:r w:rsidR="004163C8" w:rsidRPr="004163C8">
        <w:rPr>
          <w:rFonts w:ascii="Garamond" w:hAnsi="Garamond"/>
          <w:sz w:val="24"/>
          <w:szCs w:val="24"/>
        </w:rPr>
        <w:t xml:space="preserve">eserve </w:t>
      </w:r>
      <w:r w:rsidR="009F0975">
        <w:rPr>
          <w:rFonts w:ascii="Garamond" w:hAnsi="Garamond"/>
          <w:sz w:val="24"/>
          <w:szCs w:val="24"/>
        </w:rPr>
        <w:t>m</w:t>
      </w:r>
      <w:r w:rsidR="004163C8" w:rsidRPr="004163C8">
        <w:rPr>
          <w:rFonts w:ascii="Garamond" w:hAnsi="Garamond"/>
          <w:sz w:val="24"/>
          <w:szCs w:val="24"/>
        </w:rPr>
        <w:t>argin to the slice of day framework</w:t>
      </w:r>
      <w:r w:rsidR="00401002" w:rsidRPr="003E7352">
        <w:rPr>
          <w:rFonts w:ascii="Garamond" w:hAnsi="Garamond"/>
          <w:sz w:val="24"/>
          <w:szCs w:val="24"/>
        </w:rPr>
        <w:t>.</w:t>
      </w:r>
      <w:r w:rsidR="001B7582">
        <w:rPr>
          <w:rFonts w:ascii="Garamond" w:hAnsi="Garamond"/>
          <w:sz w:val="24"/>
          <w:szCs w:val="24"/>
        </w:rPr>
        <w:t xml:space="preserve"> </w:t>
      </w:r>
      <w:r w:rsidR="008F6298">
        <w:rPr>
          <w:rFonts w:ascii="Garamond" w:hAnsi="Garamond"/>
          <w:sz w:val="24"/>
          <w:szCs w:val="24"/>
        </w:rPr>
        <w:t xml:space="preserve">The proposal addressed the five objectives of RA </w:t>
      </w:r>
      <w:r w:rsidR="00346629">
        <w:rPr>
          <w:rFonts w:ascii="Garamond" w:hAnsi="Garamond"/>
          <w:sz w:val="24"/>
          <w:szCs w:val="24"/>
        </w:rPr>
        <w:t>reform:</w:t>
      </w:r>
      <w:r w:rsidR="008F6298">
        <w:rPr>
          <w:rFonts w:ascii="Garamond" w:hAnsi="Garamond"/>
          <w:sz w:val="24"/>
          <w:szCs w:val="24"/>
        </w:rPr>
        <w:t xml:space="preserve"> to balance ensuring a reliable electrical grid with minimizing costs to customers</w:t>
      </w:r>
      <w:r w:rsidR="00346629">
        <w:rPr>
          <w:rFonts w:ascii="Garamond" w:hAnsi="Garamond"/>
          <w:sz w:val="24"/>
          <w:szCs w:val="24"/>
        </w:rPr>
        <w:t>;</w:t>
      </w:r>
      <w:r w:rsidR="008F6298">
        <w:rPr>
          <w:rFonts w:ascii="Garamond" w:hAnsi="Garamond"/>
          <w:sz w:val="24"/>
          <w:szCs w:val="24"/>
        </w:rPr>
        <w:t xml:space="preserve"> to balance addressing hourly energy sufficiency for reliable operations with advancing California’s environmental goals</w:t>
      </w:r>
      <w:r w:rsidR="00346629">
        <w:rPr>
          <w:rFonts w:ascii="Garamond" w:hAnsi="Garamond"/>
          <w:sz w:val="24"/>
          <w:szCs w:val="24"/>
        </w:rPr>
        <w:t>;</w:t>
      </w:r>
      <w:r w:rsidR="008F6298">
        <w:rPr>
          <w:rFonts w:ascii="Garamond" w:hAnsi="Garamond"/>
          <w:sz w:val="24"/>
          <w:szCs w:val="24"/>
        </w:rPr>
        <w:t xml:space="preserve"> balancing granularity and pre</w:t>
      </w:r>
      <w:r w:rsidR="00346629">
        <w:rPr>
          <w:rFonts w:ascii="Garamond" w:hAnsi="Garamond"/>
          <w:sz w:val="24"/>
          <w:szCs w:val="24"/>
        </w:rPr>
        <w:t>c</w:t>
      </w:r>
      <w:r w:rsidR="008F6298">
        <w:rPr>
          <w:rFonts w:ascii="Garamond" w:hAnsi="Garamond"/>
          <w:sz w:val="24"/>
          <w:szCs w:val="24"/>
        </w:rPr>
        <w:t>ision in meeting hourly RA needs with a reasonable level of simplicity and transactability</w:t>
      </w:r>
      <w:r w:rsidR="00346629">
        <w:rPr>
          <w:rFonts w:ascii="Garamond" w:hAnsi="Garamond"/>
          <w:sz w:val="24"/>
          <w:szCs w:val="24"/>
        </w:rPr>
        <w:t>;</w:t>
      </w:r>
      <w:r w:rsidR="008F6298">
        <w:rPr>
          <w:rFonts w:ascii="Garamond" w:hAnsi="Garamond"/>
          <w:sz w:val="24"/>
          <w:szCs w:val="24"/>
        </w:rPr>
        <w:t xml:space="preserve"> to be implementable in the near-term</w:t>
      </w:r>
      <w:r w:rsidR="00346629">
        <w:rPr>
          <w:rFonts w:ascii="Garamond" w:hAnsi="Garamond"/>
          <w:sz w:val="24"/>
          <w:szCs w:val="24"/>
        </w:rPr>
        <w:t>;</w:t>
      </w:r>
      <w:r w:rsidR="008F6298">
        <w:rPr>
          <w:rFonts w:ascii="Garamond" w:hAnsi="Garamond"/>
          <w:sz w:val="24"/>
          <w:szCs w:val="24"/>
        </w:rPr>
        <w:t xml:space="preserve"> a</w:t>
      </w:r>
      <w:r w:rsidR="00346629">
        <w:rPr>
          <w:rFonts w:ascii="Garamond" w:hAnsi="Garamond"/>
          <w:sz w:val="24"/>
          <w:szCs w:val="24"/>
        </w:rPr>
        <w:t>n</w:t>
      </w:r>
      <w:r w:rsidR="008F6298">
        <w:rPr>
          <w:rFonts w:ascii="Garamond" w:hAnsi="Garamond"/>
          <w:sz w:val="24"/>
          <w:szCs w:val="24"/>
        </w:rPr>
        <w:t>d to be durable and adaptable to a changing electric grid.</w:t>
      </w:r>
    </w:p>
    <w:p w14:paraId="0AB6BB0B" w14:textId="1F324481" w:rsidR="001A11E6" w:rsidRPr="003E7352" w:rsidRDefault="001A11E6" w:rsidP="009E53DF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</w:p>
    <w:p w14:paraId="667AC27B" w14:textId="73B59337" w:rsidR="001A11E6" w:rsidRPr="003E7352" w:rsidRDefault="001A11E6" w:rsidP="009E53DF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3E7352">
        <w:rPr>
          <w:rFonts w:ascii="Garamond" w:hAnsi="Garamond"/>
          <w:b/>
          <w:sz w:val="24"/>
          <w:szCs w:val="24"/>
          <w:u w:val="single"/>
        </w:rPr>
        <w:t>Decision Summary</w:t>
      </w:r>
    </w:p>
    <w:p w14:paraId="0B5B32CF" w14:textId="77777777" w:rsidR="00F03915" w:rsidRPr="003E7352" w:rsidRDefault="00F03915" w:rsidP="009E53DF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</w:p>
    <w:p w14:paraId="4042540B" w14:textId="481261CB" w:rsidR="00977A09" w:rsidRPr="003E7352" w:rsidRDefault="00977A09" w:rsidP="00977A09">
      <w:pPr>
        <w:rPr>
          <w:rFonts w:ascii="Garamond" w:hAnsi="Garamond"/>
          <w:sz w:val="24"/>
          <w:szCs w:val="24"/>
        </w:rPr>
      </w:pPr>
      <w:r w:rsidRPr="003E7352">
        <w:rPr>
          <w:rFonts w:ascii="Garamond" w:hAnsi="Garamond"/>
          <w:sz w:val="24"/>
          <w:szCs w:val="24"/>
        </w:rPr>
        <w:t>The</w:t>
      </w:r>
      <w:r w:rsidR="009F0975">
        <w:rPr>
          <w:rFonts w:ascii="Garamond" w:hAnsi="Garamond"/>
          <w:sz w:val="24"/>
          <w:szCs w:val="24"/>
        </w:rPr>
        <w:t xml:space="preserve"> proposed</w:t>
      </w:r>
      <w:r w:rsidRPr="003E7352">
        <w:rPr>
          <w:rFonts w:ascii="Garamond" w:hAnsi="Garamond"/>
          <w:sz w:val="24"/>
          <w:szCs w:val="24"/>
        </w:rPr>
        <w:t xml:space="preserve"> </w:t>
      </w:r>
      <w:r w:rsidR="009F0975">
        <w:rPr>
          <w:rFonts w:ascii="Garamond" w:hAnsi="Garamond"/>
          <w:sz w:val="24"/>
          <w:szCs w:val="24"/>
        </w:rPr>
        <w:t>decision</w:t>
      </w:r>
      <w:r w:rsidRPr="003E7352">
        <w:rPr>
          <w:rFonts w:ascii="Garamond" w:hAnsi="Garamond"/>
          <w:sz w:val="24"/>
          <w:szCs w:val="24"/>
        </w:rPr>
        <w:t>:</w:t>
      </w:r>
    </w:p>
    <w:p w14:paraId="66711C83" w14:textId="2FA8C19C" w:rsidR="001E0831" w:rsidRDefault="004C580C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Adopts Energy Division’s proposed process for development of a Master Resource Database for use in compliance under the SOD framework</w:t>
      </w:r>
      <w:r w:rsidR="00C82BA2">
        <w:rPr>
          <w:rFonts w:ascii="Garamond" w:hAnsi="Garamond"/>
          <w:sz w:val="24"/>
          <w:szCs w:val="24"/>
        </w:rPr>
        <w:t xml:space="preserve">. This is the </w:t>
      </w:r>
      <w:r w:rsidR="00C82BA2" w:rsidRPr="00C82BA2">
        <w:rPr>
          <w:rFonts w:ascii="Garamond" w:hAnsi="Garamond"/>
          <w:sz w:val="24"/>
          <w:szCs w:val="24"/>
        </w:rPr>
        <w:t>official database of resources eligible to sell RA that includes their key attributes,</w:t>
      </w:r>
    </w:p>
    <w:p w14:paraId="775FB68F" w14:textId="0B8CA092" w:rsidR="004C580C" w:rsidRDefault="004C580C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Adopts Southern California Edison’s (SCE’s) approach for a load serving entity </w:t>
      </w:r>
      <w:r w:rsidR="00C6170C">
        <w:rPr>
          <w:rFonts w:ascii="Garamond" w:hAnsi="Garamond"/>
          <w:sz w:val="24"/>
          <w:szCs w:val="24"/>
        </w:rPr>
        <w:t xml:space="preserve">(LSE) </w:t>
      </w:r>
      <w:r>
        <w:rPr>
          <w:rFonts w:ascii="Garamond" w:hAnsi="Garamond"/>
          <w:sz w:val="24"/>
          <w:szCs w:val="24"/>
        </w:rPr>
        <w:t>compliance</w:t>
      </w:r>
      <w:r w:rsidR="00C6170C">
        <w:rPr>
          <w:rFonts w:ascii="Garamond" w:hAnsi="Garamond"/>
          <w:sz w:val="24"/>
          <w:szCs w:val="24"/>
        </w:rPr>
        <w:t xml:space="preserve"> showing</w:t>
      </w:r>
      <w:r>
        <w:rPr>
          <w:rFonts w:ascii="Garamond" w:hAnsi="Garamond"/>
          <w:sz w:val="24"/>
          <w:szCs w:val="24"/>
        </w:rPr>
        <w:t xml:space="preserve"> tool. Directs Energy Division to incorporate Clean Power Alliance’s energy storage sufficiency logic into the SCE tool to the extent possible.</w:t>
      </w:r>
      <w:r w:rsidR="002E1CAB">
        <w:rPr>
          <w:rFonts w:ascii="Garamond" w:hAnsi="Garamond"/>
          <w:sz w:val="24"/>
          <w:szCs w:val="24"/>
        </w:rPr>
        <w:t xml:space="preserve"> This tool will be used by LSEs to demonstrate that they have met RA requirements.</w:t>
      </w:r>
    </w:p>
    <w:p w14:paraId="39E5574F" w14:textId="269E9C1F" w:rsidR="004C580C" w:rsidRDefault="00A34428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Determines counting conventions for all resource classes including adopting the </w:t>
      </w:r>
      <w:r w:rsidR="000F0821">
        <w:rPr>
          <w:rFonts w:ascii="Garamond" w:hAnsi="Garamond"/>
          <w:sz w:val="24"/>
          <w:szCs w:val="24"/>
        </w:rPr>
        <w:t>Pacific Gas &amp; Electric’s</w:t>
      </w:r>
      <w:r w:rsidR="00777FD2">
        <w:rPr>
          <w:rFonts w:ascii="Garamond" w:hAnsi="Garamond"/>
          <w:sz w:val="24"/>
          <w:szCs w:val="24"/>
        </w:rPr>
        <w:t xml:space="preserve"> (PG&amp;E’s)</w:t>
      </w:r>
      <w:r w:rsidR="000F0821">
        <w:rPr>
          <w:rFonts w:ascii="Garamond" w:hAnsi="Garamond"/>
          <w:sz w:val="24"/>
          <w:szCs w:val="24"/>
        </w:rPr>
        <w:t xml:space="preserve"> approach</w:t>
      </w:r>
      <w:r>
        <w:rPr>
          <w:rFonts w:ascii="Garamond" w:hAnsi="Garamond"/>
          <w:sz w:val="24"/>
          <w:szCs w:val="24"/>
        </w:rPr>
        <w:t xml:space="preserve"> for </w:t>
      </w:r>
      <w:r w:rsidR="000F0821">
        <w:rPr>
          <w:rFonts w:ascii="Garamond" w:hAnsi="Garamond"/>
          <w:sz w:val="24"/>
          <w:szCs w:val="24"/>
        </w:rPr>
        <w:t>determining the</w:t>
      </w:r>
      <w:r w:rsidR="000F08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exceedance </w:t>
      </w:r>
      <w:r w:rsidR="000F0821">
        <w:rPr>
          <w:rFonts w:ascii="Garamond" w:hAnsi="Garamond"/>
          <w:sz w:val="24"/>
          <w:szCs w:val="24"/>
        </w:rPr>
        <w:t>level</w:t>
      </w:r>
      <w:r w:rsidR="000F08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used to </w:t>
      </w:r>
      <w:r w:rsidR="000F0821">
        <w:rPr>
          <w:rFonts w:ascii="Garamond" w:hAnsi="Garamond"/>
          <w:sz w:val="24"/>
          <w:szCs w:val="24"/>
        </w:rPr>
        <w:t>generate</w:t>
      </w:r>
      <w:r w:rsidR="00346629">
        <w:rPr>
          <w:rFonts w:ascii="Garamond" w:hAnsi="Garamond"/>
          <w:sz w:val="24"/>
          <w:szCs w:val="24"/>
        </w:rPr>
        <w:t xml:space="preserve"> daily</w:t>
      </w:r>
      <w:r w:rsidR="000F08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solar and wind profiles under the SOD framework.</w:t>
      </w:r>
      <w:r w:rsidR="000F0821">
        <w:rPr>
          <w:rFonts w:ascii="Garamond" w:hAnsi="Garamond"/>
          <w:sz w:val="24"/>
          <w:szCs w:val="24"/>
        </w:rPr>
        <w:t xml:space="preserve"> The profiles are meant to be representative of historical production on</w:t>
      </w:r>
      <w:r w:rsidR="006538E7">
        <w:rPr>
          <w:rFonts w:ascii="Garamond" w:hAnsi="Garamond"/>
          <w:sz w:val="24"/>
          <w:szCs w:val="24"/>
        </w:rPr>
        <w:t xml:space="preserve"> the</w:t>
      </w:r>
      <w:r w:rsidR="000F0821">
        <w:rPr>
          <w:rFonts w:ascii="Garamond" w:hAnsi="Garamond"/>
          <w:sz w:val="24"/>
          <w:szCs w:val="24"/>
        </w:rPr>
        <w:t xml:space="preserve"> peak days of each month.</w:t>
      </w:r>
    </w:p>
    <w:p w14:paraId="03DB36E9" w14:textId="0581A6F5" w:rsidR="00A34428" w:rsidRDefault="000F0821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Directs Energy Division to develop a </w:t>
      </w:r>
      <w:r w:rsidR="00A34428">
        <w:rPr>
          <w:rFonts w:ascii="Garamond" w:hAnsi="Garamond"/>
          <w:sz w:val="24"/>
          <w:szCs w:val="24"/>
        </w:rPr>
        <w:t>calibration tool for conversion of the planning reserve margin (PRM) study results to the SOD framework</w:t>
      </w:r>
      <w:r>
        <w:rPr>
          <w:rFonts w:ascii="Garamond" w:hAnsi="Garamond"/>
          <w:sz w:val="24"/>
          <w:szCs w:val="24"/>
        </w:rPr>
        <w:t xml:space="preserve"> based on tools developed by the Natural Resources Defense Council and SCE</w:t>
      </w:r>
      <w:r w:rsidR="00A34428">
        <w:rPr>
          <w:rFonts w:ascii="Garamond" w:hAnsi="Garamond"/>
          <w:sz w:val="24"/>
          <w:szCs w:val="24"/>
        </w:rPr>
        <w:t>.</w:t>
      </w:r>
    </w:p>
    <w:p w14:paraId="20D488A5" w14:textId="210BF6BD" w:rsidR="00A34428" w:rsidRDefault="00A34428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Eliminates maximum cumulative capacity</w:t>
      </w:r>
      <w:r w:rsidR="00C6170C">
        <w:rPr>
          <w:rFonts w:ascii="Garamond" w:hAnsi="Garamond"/>
          <w:sz w:val="24"/>
          <w:szCs w:val="24"/>
        </w:rPr>
        <w:t xml:space="preserve"> (MCC)</w:t>
      </w:r>
      <w:r>
        <w:rPr>
          <w:rFonts w:ascii="Garamond" w:hAnsi="Garamond"/>
          <w:sz w:val="24"/>
          <w:szCs w:val="24"/>
        </w:rPr>
        <w:t xml:space="preserve"> buckets 1-4 under the SOD framework.</w:t>
      </w:r>
    </w:p>
    <w:p w14:paraId="28A9912C" w14:textId="59EEA9B8" w:rsidR="00A34428" w:rsidRDefault="002E1CAB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Since 2024 is a test year for SOD, the compliance showings will continue to employ the MCC buckets under the current RA construct. The PD a</w:t>
      </w:r>
      <w:r w:rsidR="00C6170C">
        <w:rPr>
          <w:rFonts w:ascii="Garamond" w:hAnsi="Garamond"/>
          <w:sz w:val="24"/>
          <w:szCs w:val="24"/>
        </w:rPr>
        <w:t>llows standalone energy storage to be shown in MCC bucket 4 for the 2024 compliance year provided the LSE demonstrates sufficient charging capability via the SOD showing tool.</w:t>
      </w:r>
      <w:r>
        <w:rPr>
          <w:rFonts w:ascii="Garamond" w:hAnsi="Garamond"/>
          <w:sz w:val="24"/>
          <w:szCs w:val="24"/>
        </w:rPr>
        <w:t xml:space="preserve"> This is necessary since the large amount of 4-hour storage expected to come online by 2024 will put many LSEs over their bucket 1 cap.</w:t>
      </w:r>
    </w:p>
    <w:p w14:paraId="3A5CDCE7" w14:textId="5F0BB7FC" w:rsidR="00C6170C" w:rsidRDefault="00C6170C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Retains the demand response MCC bucket</w:t>
      </w:r>
      <w:r w:rsidR="00A55C67">
        <w:rPr>
          <w:rFonts w:ascii="Garamond" w:hAnsi="Garamond"/>
          <w:sz w:val="24"/>
          <w:szCs w:val="24"/>
        </w:rPr>
        <w:t>, due to the resources</w:t>
      </w:r>
      <w:r w:rsidR="002E1CAB">
        <w:rPr>
          <w:rFonts w:ascii="Garamond" w:hAnsi="Garamond"/>
          <w:sz w:val="24"/>
          <w:szCs w:val="24"/>
        </w:rPr>
        <w:t>’</w:t>
      </w:r>
      <w:r w:rsidR="00A55C67">
        <w:rPr>
          <w:rFonts w:ascii="Garamond" w:hAnsi="Garamond"/>
          <w:sz w:val="24"/>
          <w:szCs w:val="24"/>
        </w:rPr>
        <w:t xml:space="preserve"> l</w:t>
      </w:r>
      <w:r w:rsidR="00346629">
        <w:rPr>
          <w:rFonts w:ascii="Garamond" w:hAnsi="Garamond"/>
          <w:sz w:val="24"/>
          <w:szCs w:val="24"/>
        </w:rPr>
        <w:t>imited availability</w:t>
      </w:r>
      <w:r w:rsidR="00A55C6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and requires demand response resource to be shown </w:t>
      </w:r>
      <w:r w:rsidR="002E1CAB">
        <w:rPr>
          <w:rFonts w:ascii="Garamond" w:hAnsi="Garamond"/>
          <w:sz w:val="24"/>
          <w:szCs w:val="24"/>
        </w:rPr>
        <w:t>during the availability assessment hours</w:t>
      </w:r>
      <w:r w:rsidR="005100AF" w:rsidRPr="005100AF">
        <w:t xml:space="preserve"> </w:t>
      </w:r>
      <w:r w:rsidR="005100AF" w:rsidRPr="005100AF">
        <w:rPr>
          <w:rFonts w:ascii="Garamond" w:hAnsi="Garamond"/>
          <w:sz w:val="24"/>
          <w:szCs w:val="24"/>
        </w:rPr>
        <w:t>unless required by contract or tariff to be capable of responding to longer dispatches</w:t>
      </w:r>
      <w:r>
        <w:rPr>
          <w:rFonts w:ascii="Garamond" w:hAnsi="Garamond"/>
          <w:sz w:val="24"/>
          <w:szCs w:val="24"/>
        </w:rPr>
        <w:t>.</w:t>
      </w:r>
    </w:p>
    <w:p w14:paraId="07BF47AE" w14:textId="76B904B3" w:rsidR="005100AF" w:rsidRDefault="005100AF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Directs LSEs to submit test year showings for the year ahead filing and the months of March, June and September.</w:t>
      </w:r>
    </w:p>
    <w:p w14:paraId="32504042" w14:textId="5F9E360E" w:rsidR="005100AF" w:rsidRDefault="005100AF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Directs Energy Division to submit a report </w:t>
      </w:r>
      <w:r w:rsidR="002E1CAB">
        <w:rPr>
          <w:rFonts w:ascii="Garamond" w:hAnsi="Garamond"/>
          <w:sz w:val="24"/>
          <w:szCs w:val="24"/>
        </w:rPr>
        <w:t>summarizing party comments and feedback on the SOD framework and compliance tools</w:t>
      </w:r>
      <w:r w:rsidR="008742A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 the Commission after the year ahead test showing by February 1, 2024.</w:t>
      </w:r>
    </w:p>
    <w:p w14:paraId="2AE40D88" w14:textId="2BAFBABE" w:rsidR="005100AF" w:rsidRPr="003E7352" w:rsidRDefault="005100AF" w:rsidP="00977A09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Authorizes $1 million annually for up to six years for implementation of the new </w:t>
      </w:r>
      <w:r w:rsidR="009F0975">
        <w:rPr>
          <w:rFonts w:ascii="Garamond" w:hAnsi="Garamond"/>
          <w:sz w:val="24"/>
          <w:szCs w:val="24"/>
        </w:rPr>
        <w:t>RA</w:t>
      </w:r>
      <w:r>
        <w:rPr>
          <w:rFonts w:ascii="Garamond" w:hAnsi="Garamond"/>
          <w:sz w:val="24"/>
          <w:szCs w:val="24"/>
        </w:rPr>
        <w:t xml:space="preserve"> framework.</w:t>
      </w:r>
    </w:p>
    <w:p w14:paraId="766E7835" w14:textId="77777777" w:rsidR="001A11E6" w:rsidRPr="003E7352" w:rsidRDefault="001A11E6" w:rsidP="009E53DF">
      <w:pPr>
        <w:rPr>
          <w:rFonts w:ascii="Garamond" w:hAnsi="Garamond"/>
          <w:b/>
          <w:sz w:val="24"/>
          <w:szCs w:val="24"/>
          <w:u w:val="single"/>
        </w:rPr>
      </w:pPr>
      <w:r w:rsidRPr="003E7352">
        <w:rPr>
          <w:rFonts w:ascii="Garamond" w:hAnsi="Garamond"/>
          <w:b/>
          <w:sz w:val="24"/>
          <w:szCs w:val="24"/>
          <w:u w:val="single"/>
        </w:rPr>
        <w:t>Background</w:t>
      </w:r>
    </w:p>
    <w:p w14:paraId="4E54D397" w14:textId="0EF61DD5" w:rsidR="00092A99" w:rsidRPr="003E7352" w:rsidRDefault="001E0831" w:rsidP="00476A69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  <w:r w:rsidRPr="003E7352">
        <w:rPr>
          <w:rFonts w:ascii="Garamond" w:hAnsi="Garamond"/>
          <w:sz w:val="24"/>
          <w:szCs w:val="24"/>
        </w:rPr>
        <w:t>Th</w:t>
      </w:r>
      <w:r w:rsidR="00476A69" w:rsidRPr="003E7352">
        <w:rPr>
          <w:rFonts w:ascii="Garamond" w:hAnsi="Garamond"/>
          <w:sz w:val="24"/>
          <w:szCs w:val="24"/>
        </w:rPr>
        <w:t xml:space="preserve">is PD addresses </w:t>
      </w:r>
      <w:r w:rsidR="008673DE">
        <w:rPr>
          <w:rFonts w:ascii="Garamond" w:hAnsi="Garamond"/>
          <w:sz w:val="24"/>
          <w:szCs w:val="24"/>
        </w:rPr>
        <w:t>implementation details related to RA reform</w:t>
      </w:r>
      <w:r w:rsidR="00476A69" w:rsidRPr="003E7352">
        <w:rPr>
          <w:rFonts w:ascii="Garamond" w:hAnsi="Garamond"/>
          <w:sz w:val="24"/>
          <w:szCs w:val="24"/>
        </w:rPr>
        <w:t>.</w:t>
      </w:r>
      <w:r w:rsidR="00476A69" w:rsidRPr="003E7352">
        <w:rPr>
          <w:rFonts w:ascii="Garamond" w:hAnsi="Garamond"/>
        </w:rPr>
        <w:t xml:space="preserve"> </w:t>
      </w:r>
      <w:r w:rsidR="00476A69" w:rsidRPr="003E7352">
        <w:rPr>
          <w:rFonts w:ascii="Garamond" w:hAnsi="Garamond"/>
          <w:sz w:val="24"/>
          <w:szCs w:val="24"/>
        </w:rPr>
        <w:t xml:space="preserve">In D.21-07-014, the CPUC established a process and timeline for developing a final restructuring proposal based on </w:t>
      </w:r>
      <w:r w:rsidR="00777FD2">
        <w:rPr>
          <w:rFonts w:ascii="Garamond" w:hAnsi="Garamond"/>
          <w:sz w:val="24"/>
          <w:szCs w:val="24"/>
        </w:rPr>
        <w:t>PG&amp;E</w:t>
      </w:r>
      <w:r w:rsidR="00476A69" w:rsidRPr="003E7352">
        <w:rPr>
          <w:rFonts w:ascii="Garamond" w:hAnsi="Garamond"/>
          <w:sz w:val="24"/>
          <w:szCs w:val="24"/>
        </w:rPr>
        <w:t xml:space="preserve">’s “slice-of-day” proposal. </w:t>
      </w:r>
      <w:r w:rsidR="008673DE">
        <w:rPr>
          <w:rFonts w:ascii="Garamond" w:hAnsi="Garamond"/>
          <w:sz w:val="24"/>
          <w:szCs w:val="24"/>
        </w:rPr>
        <w:t>D</w:t>
      </w:r>
      <w:r w:rsidR="00476A69" w:rsidRPr="003E7352">
        <w:rPr>
          <w:rFonts w:ascii="Garamond" w:hAnsi="Garamond"/>
          <w:sz w:val="24"/>
          <w:szCs w:val="24"/>
        </w:rPr>
        <w:t>.</w:t>
      </w:r>
      <w:r w:rsidR="008673DE">
        <w:rPr>
          <w:rFonts w:ascii="Garamond" w:hAnsi="Garamond"/>
          <w:sz w:val="24"/>
          <w:szCs w:val="24"/>
        </w:rPr>
        <w:t>22-</w:t>
      </w:r>
      <w:r w:rsidR="00DD7294">
        <w:rPr>
          <w:rFonts w:ascii="Garamond" w:hAnsi="Garamond"/>
          <w:sz w:val="24"/>
          <w:szCs w:val="24"/>
        </w:rPr>
        <w:t>06-050 adopted SCE’s 24 slice approach and directed parties to undertake a series of working group meetings to address outstanding issues including compliance tools</w:t>
      </w:r>
      <w:r w:rsidR="009F5C37">
        <w:rPr>
          <w:rFonts w:ascii="Garamond" w:hAnsi="Garamond"/>
          <w:sz w:val="24"/>
          <w:szCs w:val="24"/>
        </w:rPr>
        <w:t xml:space="preserve">, </w:t>
      </w:r>
      <w:r w:rsidR="00DD7294">
        <w:rPr>
          <w:rFonts w:ascii="Garamond" w:hAnsi="Garamond"/>
          <w:sz w:val="24"/>
          <w:szCs w:val="24"/>
        </w:rPr>
        <w:t>PRM and counting rules.</w:t>
      </w:r>
      <w:r w:rsidR="00476A69" w:rsidRPr="003E7352">
        <w:rPr>
          <w:rFonts w:ascii="Garamond" w:hAnsi="Garamond"/>
          <w:sz w:val="24"/>
          <w:szCs w:val="24"/>
        </w:rPr>
        <w:t xml:space="preserve"> Th</w:t>
      </w:r>
      <w:r w:rsidR="009735A7" w:rsidRPr="003E7352">
        <w:rPr>
          <w:rFonts w:ascii="Garamond" w:hAnsi="Garamond"/>
          <w:sz w:val="24"/>
          <w:szCs w:val="24"/>
        </w:rPr>
        <w:t>is process</w:t>
      </w:r>
      <w:r w:rsidR="00476A69" w:rsidRPr="003E7352">
        <w:rPr>
          <w:rFonts w:ascii="Garamond" w:hAnsi="Garamond"/>
          <w:sz w:val="24"/>
          <w:szCs w:val="24"/>
        </w:rPr>
        <w:t xml:space="preserve"> resulted in the Resou</w:t>
      </w:r>
      <w:r w:rsidR="009735A7" w:rsidRPr="003E7352">
        <w:rPr>
          <w:rFonts w:ascii="Garamond" w:hAnsi="Garamond"/>
          <w:sz w:val="24"/>
          <w:szCs w:val="24"/>
        </w:rPr>
        <w:t xml:space="preserve">rce Adequacy </w:t>
      </w:r>
      <w:r w:rsidR="00DD7294">
        <w:rPr>
          <w:rFonts w:ascii="Garamond" w:hAnsi="Garamond"/>
          <w:sz w:val="24"/>
          <w:szCs w:val="24"/>
        </w:rPr>
        <w:t xml:space="preserve">Reform </w:t>
      </w:r>
      <w:r w:rsidR="009735A7" w:rsidRPr="003E7352">
        <w:rPr>
          <w:rFonts w:ascii="Garamond" w:hAnsi="Garamond"/>
          <w:sz w:val="24"/>
          <w:szCs w:val="24"/>
        </w:rPr>
        <w:t>Working Group Report which made the recommendations considered in the PD.</w:t>
      </w:r>
    </w:p>
    <w:p w14:paraId="6F052255" w14:textId="1B20A489" w:rsidR="001A11E6" w:rsidRPr="003E7352" w:rsidRDefault="001A11E6" w:rsidP="009E53DF">
      <w:pPr>
        <w:autoSpaceDE w:val="0"/>
        <w:autoSpaceDN w:val="0"/>
        <w:adjustRightInd w:val="0"/>
        <w:spacing w:after="0"/>
        <w:rPr>
          <w:rFonts w:ascii="Garamond" w:hAnsi="Garamond"/>
          <w:sz w:val="24"/>
          <w:szCs w:val="24"/>
        </w:rPr>
      </w:pPr>
    </w:p>
    <w:p w14:paraId="5F8E2F0A" w14:textId="4E74BBBC" w:rsidR="001A11E6" w:rsidRPr="003E7352" w:rsidRDefault="001A11E6" w:rsidP="009E53DF">
      <w:pPr>
        <w:rPr>
          <w:rFonts w:ascii="Garamond" w:hAnsi="Garamond"/>
          <w:b/>
          <w:sz w:val="24"/>
          <w:szCs w:val="24"/>
          <w:u w:val="single"/>
        </w:rPr>
      </w:pPr>
      <w:r w:rsidRPr="003E7352">
        <w:rPr>
          <w:rFonts w:ascii="Garamond" w:hAnsi="Garamond"/>
          <w:b/>
          <w:sz w:val="24"/>
          <w:szCs w:val="24"/>
          <w:u w:val="single"/>
        </w:rPr>
        <w:t>Next Steps</w:t>
      </w:r>
    </w:p>
    <w:p w14:paraId="04951E7B" w14:textId="08D6F2E1" w:rsidR="00FA66DA" w:rsidRPr="00FA66DA" w:rsidRDefault="001A11E6" w:rsidP="009E53DF">
      <w:pPr>
        <w:autoSpaceDE w:val="0"/>
        <w:autoSpaceDN w:val="0"/>
        <w:adjustRightInd w:val="0"/>
        <w:spacing w:after="0"/>
        <w:rPr>
          <w:rFonts w:ascii="Century Gothic" w:hAnsi="Century Gothic"/>
          <w:sz w:val="24"/>
          <w:szCs w:val="24"/>
        </w:rPr>
      </w:pPr>
      <w:r w:rsidRPr="003E7352">
        <w:rPr>
          <w:rFonts w:ascii="Garamond" w:hAnsi="Garamond"/>
          <w:sz w:val="24"/>
          <w:szCs w:val="24"/>
        </w:rPr>
        <w:t>At the</w:t>
      </w:r>
      <w:r w:rsidR="00DC7C55" w:rsidRPr="003E7352">
        <w:rPr>
          <w:rFonts w:ascii="Garamond" w:hAnsi="Garamond"/>
          <w:sz w:val="24"/>
          <w:szCs w:val="24"/>
        </w:rPr>
        <w:t xml:space="preserve"> earlies</w:t>
      </w:r>
      <w:r w:rsidR="000C7537" w:rsidRPr="003E7352">
        <w:rPr>
          <w:rFonts w:ascii="Garamond" w:hAnsi="Garamond"/>
          <w:sz w:val="24"/>
          <w:szCs w:val="24"/>
        </w:rPr>
        <w:t>t</w:t>
      </w:r>
      <w:r w:rsidRPr="003E7352">
        <w:rPr>
          <w:rFonts w:ascii="Garamond" w:hAnsi="Garamond"/>
          <w:sz w:val="24"/>
          <w:szCs w:val="24"/>
        </w:rPr>
        <w:t>, the</w:t>
      </w:r>
      <w:r w:rsidR="00DC7C55" w:rsidRPr="003E7352">
        <w:rPr>
          <w:rFonts w:ascii="Garamond" w:hAnsi="Garamond"/>
          <w:sz w:val="24"/>
          <w:szCs w:val="24"/>
        </w:rPr>
        <w:t xml:space="preserve"> CPUC </w:t>
      </w:r>
      <w:r w:rsidRPr="003E7352">
        <w:rPr>
          <w:rFonts w:ascii="Garamond" w:hAnsi="Garamond"/>
          <w:sz w:val="24"/>
          <w:szCs w:val="24"/>
        </w:rPr>
        <w:t>could vote on the PD</w:t>
      </w:r>
      <w:r w:rsidR="00DC7C55" w:rsidRPr="003E7352">
        <w:rPr>
          <w:rFonts w:ascii="Garamond" w:hAnsi="Garamond"/>
          <w:sz w:val="24"/>
          <w:szCs w:val="24"/>
        </w:rPr>
        <w:t xml:space="preserve"> at the </w:t>
      </w:r>
      <w:r w:rsidR="005071F0">
        <w:rPr>
          <w:rFonts w:ascii="Garamond" w:hAnsi="Garamond"/>
          <w:sz w:val="24"/>
          <w:szCs w:val="24"/>
        </w:rPr>
        <w:t>April 6</w:t>
      </w:r>
      <w:r w:rsidR="00136395" w:rsidRPr="003E7352">
        <w:rPr>
          <w:rFonts w:ascii="Garamond" w:hAnsi="Garamond"/>
          <w:sz w:val="24"/>
          <w:szCs w:val="24"/>
        </w:rPr>
        <w:t>, 202</w:t>
      </w:r>
      <w:r w:rsidR="005071F0">
        <w:rPr>
          <w:rFonts w:ascii="Garamond" w:hAnsi="Garamond"/>
          <w:sz w:val="24"/>
          <w:szCs w:val="24"/>
        </w:rPr>
        <w:t>3</w:t>
      </w:r>
      <w:r w:rsidR="00C00BDC" w:rsidRPr="003E7352">
        <w:rPr>
          <w:rFonts w:ascii="Garamond" w:hAnsi="Garamond"/>
          <w:sz w:val="24"/>
          <w:szCs w:val="24"/>
        </w:rPr>
        <w:t>,</w:t>
      </w:r>
      <w:r w:rsidR="00136395" w:rsidRPr="003E7352">
        <w:rPr>
          <w:rFonts w:ascii="Garamond" w:hAnsi="Garamond"/>
          <w:sz w:val="24"/>
          <w:szCs w:val="24"/>
        </w:rPr>
        <w:t xml:space="preserve"> </w:t>
      </w:r>
      <w:r w:rsidR="005071F0">
        <w:rPr>
          <w:rFonts w:ascii="Garamond" w:hAnsi="Garamond"/>
          <w:sz w:val="24"/>
          <w:szCs w:val="24"/>
        </w:rPr>
        <w:t>Commission</w:t>
      </w:r>
      <w:r w:rsidR="00136395" w:rsidRPr="003E7352">
        <w:rPr>
          <w:rFonts w:ascii="Garamond" w:hAnsi="Garamond"/>
          <w:sz w:val="24"/>
          <w:szCs w:val="24"/>
        </w:rPr>
        <w:t xml:space="preserve"> meeting.</w:t>
      </w:r>
      <w:r w:rsidR="00DF4126" w:rsidRPr="003E7352">
        <w:rPr>
          <w:rFonts w:ascii="Garamond" w:hAnsi="Garamond"/>
          <w:sz w:val="24"/>
          <w:szCs w:val="24"/>
        </w:rPr>
        <w:t xml:space="preserve"> </w:t>
      </w:r>
    </w:p>
    <w:p w14:paraId="249DB61B" w14:textId="77777777" w:rsidR="00FA66DA" w:rsidRPr="00A35193" w:rsidRDefault="00FA66DA" w:rsidP="009E53DF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14:paraId="6E6D41A6" w14:textId="77777777" w:rsidR="00BF1540" w:rsidRPr="00A35193" w:rsidRDefault="00BF1540" w:rsidP="009E53DF">
      <w:pPr>
        <w:rPr>
          <w:rFonts w:ascii="Century Gothic" w:hAnsi="Century Gothic"/>
          <w:b/>
          <w:bCs/>
          <w:sz w:val="24"/>
          <w:szCs w:val="24"/>
        </w:rPr>
      </w:pPr>
    </w:p>
    <w:sectPr w:rsidR="00BF1540" w:rsidRPr="00A35193" w:rsidSect="00306ED4">
      <w:headerReference w:type="default" r:id="rId11"/>
      <w:footerReference w:type="default" r:id="rId12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5A93" w14:textId="77777777" w:rsidR="00264921" w:rsidRDefault="00264921" w:rsidP="00A93F28">
      <w:pPr>
        <w:spacing w:after="0" w:line="240" w:lineRule="auto"/>
      </w:pPr>
      <w:r>
        <w:separator/>
      </w:r>
    </w:p>
  </w:endnote>
  <w:endnote w:type="continuationSeparator" w:id="0">
    <w:p w14:paraId="19D51EBA" w14:textId="77777777" w:rsidR="00264921" w:rsidRDefault="00264921" w:rsidP="00A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20500000000000000"/>
    <w:charset w:val="00"/>
    <w:family w:val="auto"/>
    <w:pitch w:val="variable"/>
    <w:sig w:usb0="20000A87" w:usb1="08000000" w:usb2="00000008" w:usb3="00000000" w:csb0="000001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648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ECA36" w14:textId="0108B83C" w:rsidR="00DA2DB6" w:rsidRDefault="00DA2D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405A5B" w14:textId="77777777" w:rsidR="00A93F28" w:rsidRDefault="00A93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AC6E" w14:textId="77777777" w:rsidR="00264921" w:rsidRDefault="00264921" w:rsidP="00A93F28">
      <w:pPr>
        <w:spacing w:after="0" w:line="240" w:lineRule="auto"/>
      </w:pPr>
      <w:r>
        <w:separator/>
      </w:r>
    </w:p>
  </w:footnote>
  <w:footnote w:type="continuationSeparator" w:id="0">
    <w:p w14:paraId="451DB870" w14:textId="77777777" w:rsidR="00264921" w:rsidRDefault="00264921" w:rsidP="00A9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eastAsiaTheme="majorEastAsia" w:hAnsi="Century Gothic" w:cstheme="majorBidi"/>
        <w:sz w:val="28"/>
        <w:szCs w:val="28"/>
      </w:rPr>
      <w:alias w:val="Title"/>
      <w:id w:val="77738743"/>
      <w:placeholder>
        <w:docPart w:val="968D61B22C14461BA668963CE08059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6AE9A8C" w14:textId="1AF54EB8" w:rsidR="00A93F28" w:rsidRPr="003E7352" w:rsidRDefault="005E37E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Century Gothic" w:eastAsiaTheme="majorEastAsia" w:hAnsi="Century Gothic" w:cstheme="majorBidi"/>
            <w:sz w:val="28"/>
            <w:szCs w:val="28"/>
          </w:rPr>
        </w:pPr>
        <w:r w:rsidRPr="003E7352">
          <w:rPr>
            <w:rFonts w:ascii="Century Gothic" w:eastAsiaTheme="majorEastAsia" w:hAnsi="Century Gothic" w:cstheme="majorBidi"/>
            <w:sz w:val="28"/>
            <w:szCs w:val="28"/>
          </w:rPr>
          <w:t xml:space="preserve">Proposed </w:t>
        </w:r>
        <w:r w:rsidR="00D02F83" w:rsidRPr="003E7352">
          <w:rPr>
            <w:rFonts w:ascii="Century Gothic" w:eastAsiaTheme="majorEastAsia" w:hAnsi="Century Gothic" w:cstheme="majorBidi"/>
            <w:sz w:val="28"/>
            <w:szCs w:val="28"/>
          </w:rPr>
          <w:t>Decision in R.</w:t>
        </w:r>
        <w:r w:rsidR="00AB66E1" w:rsidRPr="003E7352">
          <w:rPr>
            <w:rFonts w:ascii="Century Gothic" w:eastAsiaTheme="majorEastAsia" w:hAnsi="Century Gothic" w:cstheme="majorBidi"/>
            <w:sz w:val="28"/>
            <w:szCs w:val="28"/>
          </w:rPr>
          <w:t>21</w:t>
        </w:r>
        <w:r w:rsidR="00D02F83" w:rsidRPr="003E7352">
          <w:rPr>
            <w:rFonts w:ascii="Century Gothic" w:eastAsiaTheme="majorEastAsia" w:hAnsi="Century Gothic" w:cstheme="majorBidi"/>
            <w:sz w:val="28"/>
            <w:szCs w:val="28"/>
          </w:rPr>
          <w:t>-</w:t>
        </w:r>
        <w:r w:rsidR="00AB66E1" w:rsidRPr="003E7352">
          <w:rPr>
            <w:rFonts w:ascii="Century Gothic" w:eastAsiaTheme="majorEastAsia" w:hAnsi="Century Gothic" w:cstheme="majorBidi"/>
            <w:sz w:val="28"/>
            <w:szCs w:val="28"/>
          </w:rPr>
          <w:t>10</w:t>
        </w:r>
        <w:r w:rsidR="00D02F83" w:rsidRPr="003E7352">
          <w:rPr>
            <w:rFonts w:ascii="Century Gothic" w:eastAsiaTheme="majorEastAsia" w:hAnsi="Century Gothic" w:cstheme="majorBidi"/>
            <w:sz w:val="28"/>
            <w:szCs w:val="28"/>
          </w:rPr>
          <w:t>-0</w:t>
        </w:r>
        <w:r w:rsidR="00AB66E1" w:rsidRPr="003E7352">
          <w:rPr>
            <w:rFonts w:ascii="Century Gothic" w:eastAsiaTheme="majorEastAsia" w:hAnsi="Century Gothic" w:cstheme="majorBidi"/>
            <w:sz w:val="28"/>
            <w:szCs w:val="28"/>
          </w:rPr>
          <w:t>02</w:t>
        </w:r>
        <w:r w:rsidRPr="003E7352">
          <w:rPr>
            <w:rFonts w:ascii="Century Gothic" w:eastAsiaTheme="majorEastAsia" w:hAnsi="Century Gothic" w:cstheme="majorBidi"/>
            <w:sz w:val="28"/>
            <w:szCs w:val="28"/>
          </w:rPr>
          <w:t xml:space="preserve"> </w:t>
        </w:r>
        <w:r w:rsidR="004163C8">
          <w:rPr>
            <w:rFonts w:ascii="Century Gothic" w:eastAsiaTheme="majorEastAsia" w:hAnsi="Century Gothic" w:cstheme="majorBidi"/>
            <w:sz w:val="28"/>
            <w:szCs w:val="28"/>
          </w:rPr>
          <w:t>Decision on Phase 2 of the Resource Adequacy</w:t>
        </w:r>
        <w:r w:rsidR="00AB66E1" w:rsidRPr="003E7352">
          <w:rPr>
            <w:rFonts w:ascii="Century Gothic" w:eastAsiaTheme="majorEastAsia" w:hAnsi="Century Gothic" w:cstheme="majorBidi"/>
            <w:sz w:val="28"/>
            <w:szCs w:val="28"/>
          </w:rPr>
          <w:t xml:space="preserve"> Reform Track</w:t>
        </w:r>
      </w:p>
    </w:sdtContent>
  </w:sdt>
  <w:p w14:paraId="336BC2BA" w14:textId="77777777" w:rsidR="00A93F28" w:rsidRDefault="00A93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4E2B"/>
    <w:multiLevelType w:val="hybridMultilevel"/>
    <w:tmpl w:val="121C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598"/>
    <w:multiLevelType w:val="hybridMultilevel"/>
    <w:tmpl w:val="C814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4759"/>
    <w:multiLevelType w:val="hybridMultilevel"/>
    <w:tmpl w:val="A376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C0DEB"/>
    <w:multiLevelType w:val="hybridMultilevel"/>
    <w:tmpl w:val="621E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19F8"/>
    <w:multiLevelType w:val="hybridMultilevel"/>
    <w:tmpl w:val="E06C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6B84"/>
    <w:multiLevelType w:val="hybridMultilevel"/>
    <w:tmpl w:val="C7B0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65B85"/>
    <w:multiLevelType w:val="hybridMultilevel"/>
    <w:tmpl w:val="D292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E06B7"/>
    <w:multiLevelType w:val="hybridMultilevel"/>
    <w:tmpl w:val="828A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471"/>
    <w:multiLevelType w:val="hybridMultilevel"/>
    <w:tmpl w:val="12A6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5751">
    <w:abstractNumId w:val="6"/>
  </w:num>
  <w:num w:numId="2" w16cid:durableId="911089053">
    <w:abstractNumId w:val="4"/>
  </w:num>
  <w:num w:numId="3" w16cid:durableId="1868446320">
    <w:abstractNumId w:val="8"/>
  </w:num>
  <w:num w:numId="4" w16cid:durableId="2076004648">
    <w:abstractNumId w:val="5"/>
  </w:num>
  <w:num w:numId="5" w16cid:durableId="851602207">
    <w:abstractNumId w:val="2"/>
  </w:num>
  <w:num w:numId="6" w16cid:durableId="1544516201">
    <w:abstractNumId w:val="3"/>
  </w:num>
  <w:num w:numId="7" w16cid:durableId="106197076">
    <w:abstractNumId w:val="7"/>
  </w:num>
  <w:num w:numId="8" w16cid:durableId="826474979">
    <w:abstractNumId w:val="1"/>
  </w:num>
  <w:num w:numId="9" w16cid:durableId="161764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E5"/>
    <w:rsid w:val="0000158F"/>
    <w:rsid w:val="00002D49"/>
    <w:rsid w:val="00035816"/>
    <w:rsid w:val="00036AE5"/>
    <w:rsid w:val="00052106"/>
    <w:rsid w:val="00092A99"/>
    <w:rsid w:val="00096F7A"/>
    <w:rsid w:val="000B1D2D"/>
    <w:rsid w:val="000B62E2"/>
    <w:rsid w:val="000C5012"/>
    <w:rsid w:val="000C7537"/>
    <w:rsid w:val="000F0821"/>
    <w:rsid w:val="00102497"/>
    <w:rsid w:val="00103603"/>
    <w:rsid w:val="00133E6B"/>
    <w:rsid w:val="00136395"/>
    <w:rsid w:val="00136E82"/>
    <w:rsid w:val="00153443"/>
    <w:rsid w:val="00187585"/>
    <w:rsid w:val="00197959"/>
    <w:rsid w:val="001A11E6"/>
    <w:rsid w:val="001A499E"/>
    <w:rsid w:val="001B7582"/>
    <w:rsid w:val="001E035F"/>
    <w:rsid w:val="001E0831"/>
    <w:rsid w:val="002079A4"/>
    <w:rsid w:val="002445D6"/>
    <w:rsid w:val="00264921"/>
    <w:rsid w:val="0027575F"/>
    <w:rsid w:val="00276AFE"/>
    <w:rsid w:val="002D6FF7"/>
    <w:rsid w:val="002E1CAB"/>
    <w:rsid w:val="002F6583"/>
    <w:rsid w:val="00306ED4"/>
    <w:rsid w:val="003209AC"/>
    <w:rsid w:val="003303D9"/>
    <w:rsid w:val="0033349F"/>
    <w:rsid w:val="003341FD"/>
    <w:rsid w:val="00346629"/>
    <w:rsid w:val="003927A6"/>
    <w:rsid w:val="003A50B0"/>
    <w:rsid w:val="003B61CE"/>
    <w:rsid w:val="003D09E9"/>
    <w:rsid w:val="003E0E44"/>
    <w:rsid w:val="003E65D7"/>
    <w:rsid w:val="003E7352"/>
    <w:rsid w:val="003F590F"/>
    <w:rsid w:val="00401002"/>
    <w:rsid w:val="004163C8"/>
    <w:rsid w:val="0043117B"/>
    <w:rsid w:val="00440CFD"/>
    <w:rsid w:val="00450A9F"/>
    <w:rsid w:val="00451899"/>
    <w:rsid w:val="00467CF9"/>
    <w:rsid w:val="00476A69"/>
    <w:rsid w:val="004B1A23"/>
    <w:rsid w:val="004C580C"/>
    <w:rsid w:val="004D351D"/>
    <w:rsid w:val="004E56CB"/>
    <w:rsid w:val="004F34E1"/>
    <w:rsid w:val="005071F0"/>
    <w:rsid w:val="005100AF"/>
    <w:rsid w:val="00567597"/>
    <w:rsid w:val="00586486"/>
    <w:rsid w:val="005A1DFB"/>
    <w:rsid w:val="005A6285"/>
    <w:rsid w:val="005C2007"/>
    <w:rsid w:val="005C56E8"/>
    <w:rsid w:val="005D2D25"/>
    <w:rsid w:val="005E37E7"/>
    <w:rsid w:val="005E45D5"/>
    <w:rsid w:val="00643B5C"/>
    <w:rsid w:val="006538E7"/>
    <w:rsid w:val="00657FC8"/>
    <w:rsid w:val="0067662D"/>
    <w:rsid w:val="006828EF"/>
    <w:rsid w:val="006A6283"/>
    <w:rsid w:val="006C624A"/>
    <w:rsid w:val="006E6F4D"/>
    <w:rsid w:val="00711C8F"/>
    <w:rsid w:val="00746D91"/>
    <w:rsid w:val="00751439"/>
    <w:rsid w:val="00766974"/>
    <w:rsid w:val="00777E48"/>
    <w:rsid w:val="00777FD2"/>
    <w:rsid w:val="007934E0"/>
    <w:rsid w:val="007B30AA"/>
    <w:rsid w:val="007B4FDF"/>
    <w:rsid w:val="007F5581"/>
    <w:rsid w:val="00850C89"/>
    <w:rsid w:val="008673DE"/>
    <w:rsid w:val="008742AF"/>
    <w:rsid w:val="00881545"/>
    <w:rsid w:val="008A2629"/>
    <w:rsid w:val="008C2443"/>
    <w:rsid w:val="008C7479"/>
    <w:rsid w:val="008F2BCE"/>
    <w:rsid w:val="008F6298"/>
    <w:rsid w:val="009009C3"/>
    <w:rsid w:val="00901185"/>
    <w:rsid w:val="0092270A"/>
    <w:rsid w:val="00923212"/>
    <w:rsid w:val="009320EF"/>
    <w:rsid w:val="00933E4A"/>
    <w:rsid w:val="00941CC2"/>
    <w:rsid w:val="009735A7"/>
    <w:rsid w:val="00977A09"/>
    <w:rsid w:val="00986819"/>
    <w:rsid w:val="0099566D"/>
    <w:rsid w:val="009B0E42"/>
    <w:rsid w:val="009E53DF"/>
    <w:rsid w:val="009F0975"/>
    <w:rsid w:val="009F2541"/>
    <w:rsid w:val="009F5C37"/>
    <w:rsid w:val="00A02736"/>
    <w:rsid w:val="00A0791D"/>
    <w:rsid w:val="00A27B36"/>
    <w:rsid w:val="00A308A8"/>
    <w:rsid w:val="00A34428"/>
    <w:rsid w:val="00A35193"/>
    <w:rsid w:val="00A369F9"/>
    <w:rsid w:val="00A44092"/>
    <w:rsid w:val="00A55C67"/>
    <w:rsid w:val="00A668E5"/>
    <w:rsid w:val="00A714D5"/>
    <w:rsid w:val="00A93F28"/>
    <w:rsid w:val="00AA3C84"/>
    <w:rsid w:val="00AB66E1"/>
    <w:rsid w:val="00AB6CEA"/>
    <w:rsid w:val="00AD123F"/>
    <w:rsid w:val="00AD4119"/>
    <w:rsid w:val="00AD4D45"/>
    <w:rsid w:val="00B62AAB"/>
    <w:rsid w:val="00BA6C98"/>
    <w:rsid w:val="00BD5D55"/>
    <w:rsid w:val="00BF1540"/>
    <w:rsid w:val="00C00BDC"/>
    <w:rsid w:val="00C26CF7"/>
    <w:rsid w:val="00C42564"/>
    <w:rsid w:val="00C6170C"/>
    <w:rsid w:val="00C82BA2"/>
    <w:rsid w:val="00C90EA8"/>
    <w:rsid w:val="00CA2D29"/>
    <w:rsid w:val="00CB08C3"/>
    <w:rsid w:val="00CB441E"/>
    <w:rsid w:val="00CD3F1F"/>
    <w:rsid w:val="00D00F60"/>
    <w:rsid w:val="00D01E63"/>
    <w:rsid w:val="00D02F83"/>
    <w:rsid w:val="00D10D17"/>
    <w:rsid w:val="00D2097E"/>
    <w:rsid w:val="00D34CBB"/>
    <w:rsid w:val="00D3693D"/>
    <w:rsid w:val="00D5165D"/>
    <w:rsid w:val="00D5778D"/>
    <w:rsid w:val="00D77803"/>
    <w:rsid w:val="00D82CFF"/>
    <w:rsid w:val="00D83A56"/>
    <w:rsid w:val="00D84491"/>
    <w:rsid w:val="00DA2DB6"/>
    <w:rsid w:val="00DC7C55"/>
    <w:rsid w:val="00DD0162"/>
    <w:rsid w:val="00DD7294"/>
    <w:rsid w:val="00DF4126"/>
    <w:rsid w:val="00E057F2"/>
    <w:rsid w:val="00E12385"/>
    <w:rsid w:val="00E425A7"/>
    <w:rsid w:val="00E52B00"/>
    <w:rsid w:val="00E53A7D"/>
    <w:rsid w:val="00E83991"/>
    <w:rsid w:val="00E9081E"/>
    <w:rsid w:val="00EA0833"/>
    <w:rsid w:val="00EB3F83"/>
    <w:rsid w:val="00EC08B6"/>
    <w:rsid w:val="00ED53A1"/>
    <w:rsid w:val="00ED6C7C"/>
    <w:rsid w:val="00F03915"/>
    <w:rsid w:val="00F62FC5"/>
    <w:rsid w:val="00F87BA3"/>
    <w:rsid w:val="00FA303F"/>
    <w:rsid w:val="00FA66DA"/>
    <w:rsid w:val="00FD304B"/>
    <w:rsid w:val="00FD4A19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9EA2A"/>
  <w15:docId w15:val="{62648A58-A72E-4823-B35A-C3EF94B6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A1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F0053"/>
    <w:pPr>
      <w:spacing w:after="0" w:line="240" w:lineRule="auto"/>
    </w:pPr>
    <w:rPr>
      <w:rFonts w:ascii="Palatino" w:eastAsia="Times New Roman" w:hAnsi="Palatino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053"/>
    <w:rPr>
      <w:rFonts w:ascii="Palatino" w:eastAsia="Times New Roman" w:hAnsi="Palatino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F0053"/>
    <w:pPr>
      <w:spacing w:after="60" w:line="240" w:lineRule="auto"/>
      <w:jc w:val="center"/>
    </w:pPr>
    <w:rPr>
      <w:rFonts w:ascii="Arial" w:eastAsia="Times New Roman" w:hAnsi="Arial" w:cs="Times New Roman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FF0053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05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28"/>
  </w:style>
  <w:style w:type="paragraph" w:styleId="Footer">
    <w:name w:val="footer"/>
    <w:basedOn w:val="Normal"/>
    <w:link w:val="FooterChar"/>
    <w:uiPriority w:val="99"/>
    <w:unhideWhenUsed/>
    <w:rsid w:val="00A93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28"/>
  </w:style>
  <w:style w:type="character" w:styleId="FollowedHyperlink">
    <w:name w:val="FollowedHyperlink"/>
    <w:basedOn w:val="DefaultParagraphFont"/>
    <w:uiPriority w:val="99"/>
    <w:semiHidden/>
    <w:unhideWhenUsed/>
    <w:rsid w:val="003E65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83"/>
    <w:pPr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83"/>
    <w:rPr>
      <w:rFonts w:ascii="Palatino" w:eastAsia="Times New Roman" w:hAnsi="Palatino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5D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D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D55"/>
    <w:rPr>
      <w:vertAlign w:val="superscript"/>
    </w:rPr>
  </w:style>
  <w:style w:type="paragraph" w:styleId="Revision">
    <w:name w:val="Revision"/>
    <w:hidden/>
    <w:uiPriority w:val="99"/>
    <w:semiHidden/>
    <w:rsid w:val="00035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8D61B22C14461BA668963CE080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0988-E5EE-4FE3-AFEA-F743131F65FD}"/>
      </w:docPartPr>
      <w:docPartBody>
        <w:p w:rsidR="00177159" w:rsidRDefault="007E16AF" w:rsidP="007E16AF">
          <w:pPr>
            <w:pStyle w:val="968D61B22C14461BA668963CE08059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20500000000000000"/>
    <w:charset w:val="00"/>
    <w:family w:val="auto"/>
    <w:pitch w:val="variable"/>
    <w:sig w:usb0="20000A87" w:usb1="08000000" w:usb2="00000008" w:usb3="00000000" w:csb0="000001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6AF"/>
    <w:rsid w:val="0004784B"/>
    <w:rsid w:val="001723B8"/>
    <w:rsid w:val="00177159"/>
    <w:rsid w:val="001C6A17"/>
    <w:rsid w:val="00297727"/>
    <w:rsid w:val="004B6DEE"/>
    <w:rsid w:val="005C4E48"/>
    <w:rsid w:val="00634B93"/>
    <w:rsid w:val="0067024A"/>
    <w:rsid w:val="00676EDD"/>
    <w:rsid w:val="0070269C"/>
    <w:rsid w:val="00757DFE"/>
    <w:rsid w:val="007C2C2F"/>
    <w:rsid w:val="007C5E55"/>
    <w:rsid w:val="007E16AF"/>
    <w:rsid w:val="007E7145"/>
    <w:rsid w:val="00923196"/>
    <w:rsid w:val="00A570BF"/>
    <w:rsid w:val="00AF32FF"/>
    <w:rsid w:val="00B36248"/>
    <w:rsid w:val="00C45293"/>
    <w:rsid w:val="00CC72D0"/>
    <w:rsid w:val="00DE471C"/>
    <w:rsid w:val="00EB5A2C"/>
    <w:rsid w:val="00E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8D61B22C14461BA668963CE080599C">
    <w:name w:val="968D61B22C14461BA668963CE080599C"/>
    <w:rsid w:val="007E1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991CFEBC9B34D9563988AB446D1C3" ma:contentTypeVersion="5" ma:contentTypeDescription="Create a new document." ma:contentTypeScope="" ma:versionID="d07c31a03be2ba16be720c96433131f0">
  <xsd:schema xmlns:xsd="http://www.w3.org/2001/XMLSchema" xmlns:xs="http://www.w3.org/2001/XMLSchema" xmlns:p="http://schemas.microsoft.com/office/2006/metadata/properties" xmlns:ns3="39609060-d435-41b9-9194-6ce8a86c80bc" xmlns:ns4="c61ff885-a387-41ea-acdb-4a005f901287" targetNamespace="http://schemas.microsoft.com/office/2006/metadata/properties" ma:root="true" ma:fieldsID="3d33fe64c15604b3ae0540e3f3ab426e" ns3:_="" ns4:_="">
    <xsd:import namespace="39609060-d435-41b9-9194-6ce8a86c80bc"/>
    <xsd:import namespace="c61ff885-a387-41ea-acdb-4a005f901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9060-d435-41b9-9194-6ce8a86c8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f885-a387-41ea-acdb-4a005f901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CD18-4722-431E-8D50-A45FF83D741A}">
  <ds:schemaRefs>
    <ds:schemaRef ds:uri="c61ff885-a387-41ea-acdb-4a005f901287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9609060-d435-41b9-9194-6ce8a86c80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C4A8E-5A57-4FAD-9E35-C9B36EE5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09060-d435-41b9-9194-6ce8a86c80bc"/>
    <ds:schemaRef ds:uri="c61ff885-a387-41ea-acdb-4a005f901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A5D92-25BA-4D57-9DD1-CE1EF8A9C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FD462-3E90-43A4-B50E-A6F69D09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Decision in R.21-10-002 Decision on Phase 2 of the Resource Adequacy Reform Track</vt:lpstr>
    </vt:vector>
  </TitlesOfParts>
  <Company>CPUC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Decision in R.21-10-002 Decision on Phase 2 of the Resource Adequacy Reform Track</dc:title>
  <dc:creator>Sisto, Carolyn</dc:creator>
  <cp:lastModifiedBy>Simone Brant</cp:lastModifiedBy>
  <cp:revision>6</cp:revision>
  <cp:lastPrinted>2018-12-06T18:05:00Z</cp:lastPrinted>
  <dcterms:created xsi:type="dcterms:W3CDTF">2023-03-29T23:50:00Z</dcterms:created>
  <dcterms:modified xsi:type="dcterms:W3CDTF">2023-03-30T00:23:00Z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0x010100C80991CFEBC9B34D9563988AB446D1C3</vt:lpwstr>
  </property>
</Properties>
</file>