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F470" w14:textId="2AEE7636" w:rsidR="00247F2E" w:rsidRPr="009608AB" w:rsidRDefault="007350FA" w:rsidP="00BA11E4">
      <w:pPr>
        <w:spacing w:after="240"/>
        <w:jc w:val="center"/>
        <w:rPr>
          <w:rFonts w:ascii="Century Gothic" w:hAnsi="Century Gothic" w:cs="Calibri"/>
          <w:b/>
          <w:bCs/>
          <w:color w:val="7B230B" w:themeColor="accent1" w:themeShade="BF"/>
          <w:u w:val="single"/>
        </w:rPr>
      </w:pPr>
      <w:r w:rsidRPr="009608AB">
        <w:rPr>
          <w:rFonts w:ascii="Century Gothic" w:hAnsi="Century Gothic" w:cs="Calibri"/>
          <w:b/>
          <w:bCs/>
          <w:color w:val="7B230B" w:themeColor="accent1" w:themeShade="BF"/>
          <w:u w:val="single"/>
        </w:rPr>
        <w:t xml:space="preserve">GAS </w:t>
      </w:r>
      <w:r w:rsidR="00247F2E" w:rsidRPr="009608AB">
        <w:rPr>
          <w:rFonts w:ascii="Century Gothic" w:hAnsi="Century Gothic" w:cs="Calibri"/>
          <w:b/>
          <w:bCs/>
          <w:color w:val="7B230B" w:themeColor="accent1" w:themeShade="BF"/>
          <w:u w:val="single"/>
        </w:rPr>
        <w:t>RATE</w:t>
      </w:r>
      <w:r w:rsidR="007C0FA4" w:rsidRPr="009608AB">
        <w:rPr>
          <w:rFonts w:ascii="Century Gothic" w:hAnsi="Century Gothic" w:cs="Calibri"/>
          <w:b/>
          <w:bCs/>
          <w:color w:val="7B230B" w:themeColor="accent1" w:themeShade="BF"/>
          <w:u w:val="single"/>
        </w:rPr>
        <w:t xml:space="preserve"> INCREASE</w:t>
      </w:r>
      <w:r w:rsidR="00247F2E" w:rsidRPr="009608AB">
        <w:rPr>
          <w:rFonts w:ascii="Century Gothic" w:hAnsi="Century Gothic" w:cs="Calibri"/>
          <w:b/>
          <w:bCs/>
          <w:color w:val="7B230B" w:themeColor="accent1" w:themeShade="BF"/>
          <w:u w:val="single"/>
        </w:rPr>
        <w:t xml:space="preserve"> EFFECTIVE</w:t>
      </w:r>
      <w:r w:rsidR="00F71284" w:rsidRPr="009608AB">
        <w:rPr>
          <w:rFonts w:ascii="Century Gothic" w:hAnsi="Century Gothic" w:cs="Calibri"/>
          <w:b/>
          <w:bCs/>
          <w:color w:val="7B230B" w:themeColor="accent1" w:themeShade="BF"/>
          <w:u w:val="single"/>
        </w:rPr>
        <w:t xml:space="preserve"> </w:t>
      </w:r>
      <w:r w:rsidR="001A21DB" w:rsidRPr="009608AB">
        <w:rPr>
          <w:rFonts w:ascii="Century Gothic" w:hAnsi="Century Gothic" w:cs="Calibri"/>
          <w:b/>
          <w:bCs/>
          <w:color w:val="7B230B" w:themeColor="accent1" w:themeShade="BF"/>
          <w:u w:val="single"/>
        </w:rPr>
        <w:t xml:space="preserve">January </w:t>
      </w:r>
      <w:r w:rsidR="00247F2E" w:rsidRPr="009608AB">
        <w:rPr>
          <w:rFonts w:ascii="Century Gothic" w:hAnsi="Century Gothic" w:cs="Calibri"/>
          <w:b/>
          <w:bCs/>
          <w:color w:val="7B230B" w:themeColor="accent1" w:themeShade="BF"/>
          <w:u w:val="single"/>
        </w:rPr>
        <w:t>1, 202</w:t>
      </w:r>
      <w:r w:rsidR="008251B2" w:rsidRPr="009608AB">
        <w:rPr>
          <w:rFonts w:ascii="Century Gothic" w:hAnsi="Century Gothic" w:cs="Calibri"/>
          <w:b/>
          <w:bCs/>
          <w:color w:val="7B230B" w:themeColor="accent1" w:themeShade="BF"/>
          <w:u w:val="single"/>
        </w:rPr>
        <w:t>2</w:t>
      </w:r>
    </w:p>
    <w:p w14:paraId="58C8283A" w14:textId="7AC65DA8" w:rsidR="004F5C5A" w:rsidRPr="009608AB" w:rsidRDefault="004E02C2" w:rsidP="004F5C5A">
      <w:pPr>
        <w:ind w:firstLine="0"/>
        <w:rPr>
          <w:rFonts w:ascii="Century Gothic" w:hAnsi="Century Gothic" w:cs="Calibri"/>
        </w:rPr>
      </w:pPr>
      <w:r w:rsidRPr="009608AB">
        <w:rPr>
          <w:rFonts w:ascii="Century Gothic" w:hAnsi="Century Gothic" w:cs="Calibri"/>
          <w:b/>
          <w:bCs/>
          <w:color w:val="7030A0"/>
        </w:rPr>
        <w:t>PG&amp;E –</w:t>
      </w:r>
      <w:r w:rsidRPr="009608AB">
        <w:rPr>
          <w:rFonts w:ascii="Century Gothic" w:hAnsi="Century Gothic" w:cs="Calibri"/>
        </w:rPr>
        <w:t xml:space="preserve"> </w:t>
      </w:r>
      <w:r w:rsidR="0061039D" w:rsidRPr="009608AB">
        <w:rPr>
          <w:rFonts w:ascii="Century Gothic" w:hAnsi="Century Gothic" w:cs="Calibri"/>
        </w:rPr>
        <w:t>The</w:t>
      </w:r>
      <w:r w:rsidRPr="009608AB">
        <w:rPr>
          <w:rFonts w:ascii="Century Gothic" w:hAnsi="Century Gothic" w:cs="Calibri"/>
        </w:rPr>
        <w:t xml:space="preserve"> </w:t>
      </w:r>
      <w:r w:rsidR="002D67B8" w:rsidRPr="009608AB">
        <w:rPr>
          <w:rFonts w:ascii="Century Gothic" w:hAnsi="Century Gothic" w:cs="Calibri"/>
        </w:rPr>
        <w:t>Annual Gas True-Up (AGT)</w:t>
      </w:r>
      <w:r w:rsidR="00515687" w:rsidRPr="009608AB">
        <w:rPr>
          <w:rFonts w:ascii="Century Gothic" w:hAnsi="Century Gothic" w:cs="Calibri"/>
        </w:rPr>
        <w:t xml:space="preserve"> </w:t>
      </w:r>
      <w:r w:rsidR="0061039D" w:rsidRPr="009608AB">
        <w:rPr>
          <w:rFonts w:ascii="Century Gothic" w:hAnsi="Century Gothic" w:cs="Calibri"/>
        </w:rPr>
        <w:t xml:space="preserve">allows </w:t>
      </w:r>
      <w:r w:rsidRPr="009608AB">
        <w:rPr>
          <w:rFonts w:ascii="Century Gothic" w:hAnsi="Century Gothic" w:cs="Calibri"/>
        </w:rPr>
        <w:t xml:space="preserve">PG&amp;E to </w:t>
      </w:r>
      <w:r w:rsidR="00C15843">
        <w:rPr>
          <w:rFonts w:ascii="Century Gothic" w:hAnsi="Century Gothic" w:cs="Calibri"/>
        </w:rPr>
        <w:t xml:space="preserve">update its gas rates to reflect changes in its </w:t>
      </w:r>
      <w:r w:rsidR="002D67B8" w:rsidRPr="009608AB">
        <w:rPr>
          <w:rFonts w:ascii="Century Gothic" w:hAnsi="Century Gothic" w:cs="Calibri"/>
        </w:rPr>
        <w:t>consolidate</w:t>
      </w:r>
      <w:r w:rsidR="00C15843">
        <w:rPr>
          <w:rFonts w:ascii="Century Gothic" w:hAnsi="Century Gothic" w:cs="Calibri"/>
        </w:rPr>
        <w:t>d</w:t>
      </w:r>
      <w:r w:rsidR="002D67B8" w:rsidRPr="009608AB">
        <w:rPr>
          <w:rFonts w:ascii="Century Gothic" w:hAnsi="Century Gothic" w:cs="Calibri"/>
        </w:rPr>
        <w:t xml:space="preserve"> gas </w:t>
      </w:r>
      <w:r w:rsidR="00C15843">
        <w:rPr>
          <w:rFonts w:ascii="Century Gothic" w:hAnsi="Century Gothic" w:cs="Calibri"/>
        </w:rPr>
        <w:t xml:space="preserve">ratemaking </w:t>
      </w:r>
      <w:r w:rsidR="002D67B8" w:rsidRPr="009608AB">
        <w:rPr>
          <w:rFonts w:ascii="Century Gothic" w:hAnsi="Century Gothic" w:cs="Calibri"/>
        </w:rPr>
        <w:t>account</w:t>
      </w:r>
      <w:r w:rsidR="00C15843">
        <w:rPr>
          <w:rFonts w:ascii="Century Gothic" w:hAnsi="Century Gothic" w:cs="Calibri"/>
        </w:rPr>
        <w:t>s</w:t>
      </w:r>
      <w:r w:rsidR="00830429">
        <w:rPr>
          <w:rFonts w:ascii="Century Gothic" w:hAnsi="Century Gothic" w:cs="Calibri"/>
        </w:rPr>
        <w:t xml:space="preserve"> to reflect </w:t>
      </w:r>
      <w:r w:rsidR="002D67B8" w:rsidRPr="009608AB">
        <w:rPr>
          <w:rFonts w:ascii="Century Gothic" w:hAnsi="Century Gothic" w:cs="Calibri"/>
        </w:rPr>
        <w:t>changes approved by the Commission</w:t>
      </w:r>
      <w:r w:rsidR="00515687" w:rsidRPr="009608AB">
        <w:rPr>
          <w:rFonts w:ascii="Century Gothic" w:hAnsi="Century Gothic" w:cs="Calibri"/>
        </w:rPr>
        <w:t xml:space="preserve">. This process enables PG&amp;E </w:t>
      </w:r>
      <w:r w:rsidRPr="009608AB">
        <w:rPr>
          <w:rFonts w:ascii="Century Gothic" w:hAnsi="Century Gothic" w:cs="Calibri"/>
        </w:rPr>
        <w:t xml:space="preserve">to reflect </w:t>
      </w:r>
      <w:r w:rsidR="00515687" w:rsidRPr="009608AB">
        <w:rPr>
          <w:rFonts w:ascii="Century Gothic" w:hAnsi="Century Gothic" w:cs="Calibri"/>
        </w:rPr>
        <w:t xml:space="preserve">the </w:t>
      </w:r>
      <w:r w:rsidR="0061039D" w:rsidRPr="009608AB">
        <w:rPr>
          <w:rFonts w:ascii="Century Gothic" w:hAnsi="Century Gothic" w:cs="Calibri"/>
        </w:rPr>
        <w:t xml:space="preserve">actual costs incurred </w:t>
      </w:r>
      <w:r w:rsidRPr="009608AB">
        <w:rPr>
          <w:rFonts w:ascii="Century Gothic" w:hAnsi="Century Gothic" w:cs="Calibri"/>
        </w:rPr>
        <w:t>during the year</w:t>
      </w:r>
      <w:r w:rsidR="006F664F" w:rsidRPr="009608AB">
        <w:rPr>
          <w:rFonts w:ascii="Century Gothic" w:hAnsi="Century Gothic" w:cs="Calibri"/>
        </w:rPr>
        <w:t xml:space="preserve"> in </w:t>
      </w:r>
      <w:r w:rsidR="00830429">
        <w:rPr>
          <w:rFonts w:ascii="Century Gothic" w:hAnsi="Century Gothic" w:cs="Calibri"/>
        </w:rPr>
        <w:t>its</w:t>
      </w:r>
      <w:r w:rsidR="00830429" w:rsidRPr="009608AB">
        <w:rPr>
          <w:rFonts w:ascii="Century Gothic" w:hAnsi="Century Gothic" w:cs="Calibri"/>
        </w:rPr>
        <w:t xml:space="preserve"> </w:t>
      </w:r>
      <w:r w:rsidR="006F664F" w:rsidRPr="009608AB">
        <w:rPr>
          <w:rFonts w:ascii="Century Gothic" w:hAnsi="Century Gothic" w:cs="Calibri"/>
        </w:rPr>
        <w:t>gas rates</w:t>
      </w:r>
      <w:r w:rsidRPr="009608AB">
        <w:rPr>
          <w:rFonts w:ascii="Century Gothic" w:hAnsi="Century Gothic" w:cs="Calibri"/>
        </w:rPr>
        <w:t xml:space="preserve">. On </w:t>
      </w:r>
      <w:r w:rsidR="003F5A96" w:rsidRPr="009608AB">
        <w:rPr>
          <w:rFonts w:ascii="Century Gothic" w:hAnsi="Century Gothic" w:cs="Calibri"/>
        </w:rPr>
        <w:t>December 23, 202</w:t>
      </w:r>
      <w:r w:rsidR="008251B2" w:rsidRPr="009608AB">
        <w:rPr>
          <w:rFonts w:ascii="Century Gothic" w:hAnsi="Century Gothic" w:cs="Calibri"/>
        </w:rPr>
        <w:t>1</w:t>
      </w:r>
      <w:r w:rsidR="00FB5916" w:rsidRPr="009608AB">
        <w:rPr>
          <w:rFonts w:ascii="Century Gothic" w:hAnsi="Century Gothic" w:cs="Calibri"/>
        </w:rPr>
        <w:t>,</w:t>
      </w:r>
      <w:r w:rsidRPr="009608AB">
        <w:rPr>
          <w:rFonts w:ascii="Century Gothic" w:hAnsi="Century Gothic" w:cs="Calibri"/>
        </w:rPr>
        <w:t xml:space="preserve"> PG&amp;E filed its </w:t>
      </w:r>
      <w:r w:rsidR="002D67B8" w:rsidRPr="009608AB">
        <w:rPr>
          <w:rFonts w:ascii="Century Gothic" w:hAnsi="Century Gothic" w:cs="Calibri"/>
        </w:rPr>
        <w:t xml:space="preserve">Consolidated </w:t>
      </w:r>
      <w:r w:rsidRPr="009608AB">
        <w:rPr>
          <w:rFonts w:ascii="Century Gothic" w:hAnsi="Century Gothic" w:cs="Calibri"/>
        </w:rPr>
        <w:t>AGT Advice Letter (AL)</w:t>
      </w:r>
      <w:r w:rsidR="00B51D18" w:rsidRPr="009608AB">
        <w:rPr>
          <w:rFonts w:ascii="Century Gothic" w:hAnsi="Century Gothic" w:cs="Calibri"/>
        </w:rPr>
        <w:t xml:space="preserve">, </w:t>
      </w:r>
      <w:r w:rsidR="00830429">
        <w:rPr>
          <w:rFonts w:ascii="Century Gothic" w:hAnsi="Century Gothic" w:cs="Calibri"/>
        </w:rPr>
        <w:t xml:space="preserve">for new rates </w:t>
      </w:r>
      <w:r w:rsidRPr="009608AB">
        <w:rPr>
          <w:rFonts w:ascii="Century Gothic" w:hAnsi="Century Gothic" w:cs="Calibri"/>
        </w:rPr>
        <w:t>effective January 1, 202</w:t>
      </w:r>
      <w:r w:rsidR="008251B2" w:rsidRPr="009608AB">
        <w:rPr>
          <w:rFonts w:ascii="Century Gothic" w:hAnsi="Century Gothic" w:cs="Calibri"/>
        </w:rPr>
        <w:t>2</w:t>
      </w:r>
      <w:r w:rsidRPr="009608AB">
        <w:rPr>
          <w:rFonts w:ascii="Century Gothic" w:hAnsi="Century Gothic" w:cs="Calibri"/>
        </w:rPr>
        <w:t>. Th</w:t>
      </w:r>
      <w:r w:rsidR="002D67B8" w:rsidRPr="009608AB">
        <w:rPr>
          <w:rFonts w:ascii="Century Gothic" w:hAnsi="Century Gothic" w:cs="Calibri"/>
        </w:rPr>
        <w:t xml:space="preserve">e Consolidated </w:t>
      </w:r>
      <w:r w:rsidRPr="009608AB">
        <w:rPr>
          <w:rFonts w:ascii="Century Gothic" w:hAnsi="Century Gothic" w:cs="Calibri"/>
        </w:rPr>
        <w:t xml:space="preserve">AGT AL reflects </w:t>
      </w:r>
      <w:r w:rsidR="0061039D" w:rsidRPr="009608AB">
        <w:rPr>
          <w:rFonts w:ascii="Century Gothic" w:hAnsi="Century Gothic" w:cs="Calibri"/>
        </w:rPr>
        <w:t>an increase of $</w:t>
      </w:r>
      <w:r w:rsidR="00423750">
        <w:rPr>
          <w:rFonts w:ascii="Century Gothic" w:hAnsi="Century Gothic" w:cs="Calibri"/>
        </w:rPr>
        <w:t>390</w:t>
      </w:r>
      <w:r w:rsidR="0061039D" w:rsidRPr="009608AB">
        <w:rPr>
          <w:rFonts w:ascii="Century Gothic" w:hAnsi="Century Gothic" w:cs="Calibri"/>
        </w:rPr>
        <w:t xml:space="preserve"> million in </w:t>
      </w:r>
      <w:r w:rsidR="00257344" w:rsidRPr="009608AB">
        <w:rPr>
          <w:rFonts w:ascii="Century Gothic" w:hAnsi="Century Gothic" w:cs="Calibri"/>
        </w:rPr>
        <w:t>revenues</w:t>
      </w:r>
      <w:r w:rsidR="0061039D" w:rsidRPr="009608AB">
        <w:rPr>
          <w:rFonts w:ascii="Century Gothic" w:hAnsi="Century Gothic" w:cs="Calibri"/>
        </w:rPr>
        <w:t xml:space="preserve"> </w:t>
      </w:r>
      <w:r w:rsidR="00257344" w:rsidRPr="009608AB">
        <w:rPr>
          <w:rFonts w:ascii="Century Gothic" w:hAnsi="Century Gothic" w:cs="Calibri"/>
        </w:rPr>
        <w:t xml:space="preserve">that </w:t>
      </w:r>
      <w:r w:rsidR="0061039D" w:rsidRPr="009608AB">
        <w:rPr>
          <w:rFonts w:ascii="Century Gothic" w:hAnsi="Century Gothic" w:cs="Calibri"/>
        </w:rPr>
        <w:t xml:space="preserve">PG&amp;E </w:t>
      </w:r>
      <w:r w:rsidR="006F664F" w:rsidRPr="009608AB">
        <w:rPr>
          <w:rFonts w:ascii="Century Gothic" w:hAnsi="Century Gothic" w:cs="Calibri"/>
        </w:rPr>
        <w:t>is authorized</w:t>
      </w:r>
      <w:r w:rsidR="0061039D" w:rsidRPr="009608AB">
        <w:rPr>
          <w:rFonts w:ascii="Century Gothic" w:hAnsi="Century Gothic" w:cs="Calibri"/>
        </w:rPr>
        <w:t xml:space="preserve"> </w:t>
      </w:r>
      <w:r w:rsidR="00257344" w:rsidRPr="009608AB">
        <w:rPr>
          <w:rFonts w:ascii="Century Gothic" w:hAnsi="Century Gothic" w:cs="Calibri"/>
        </w:rPr>
        <w:t xml:space="preserve">to collect </w:t>
      </w:r>
      <w:r w:rsidR="00830429">
        <w:rPr>
          <w:rFonts w:ascii="Century Gothic" w:hAnsi="Century Gothic" w:cs="Calibri"/>
        </w:rPr>
        <w:t xml:space="preserve">for </w:t>
      </w:r>
      <w:r w:rsidR="0061039D" w:rsidRPr="009608AB">
        <w:rPr>
          <w:rFonts w:ascii="Century Gothic" w:hAnsi="Century Gothic" w:cs="Calibri"/>
        </w:rPr>
        <w:t>gas transportation services</w:t>
      </w:r>
      <w:r w:rsidR="00830429">
        <w:rPr>
          <w:rFonts w:ascii="Century Gothic" w:hAnsi="Century Gothic" w:cs="Calibri"/>
        </w:rPr>
        <w:t xml:space="preserve">, which </w:t>
      </w:r>
      <w:r w:rsidR="0061039D" w:rsidRPr="009608AB">
        <w:rPr>
          <w:rFonts w:ascii="Century Gothic" w:hAnsi="Century Gothic" w:cs="Calibri"/>
        </w:rPr>
        <w:t xml:space="preserve">is estimated to result </w:t>
      </w:r>
      <w:r w:rsidRPr="009608AB">
        <w:rPr>
          <w:rFonts w:ascii="Century Gothic" w:hAnsi="Century Gothic" w:cs="Calibri"/>
        </w:rPr>
        <w:t xml:space="preserve">in a </w:t>
      </w:r>
      <w:r w:rsidR="00423750">
        <w:rPr>
          <w:rFonts w:ascii="Century Gothic" w:hAnsi="Century Gothic" w:cs="Calibri"/>
        </w:rPr>
        <w:t>12.1</w:t>
      </w:r>
      <w:r w:rsidRPr="009608AB">
        <w:rPr>
          <w:rFonts w:ascii="Century Gothic" w:hAnsi="Century Gothic" w:cs="Calibri"/>
        </w:rPr>
        <w:t xml:space="preserve">% </w:t>
      </w:r>
      <w:r w:rsidR="00B41C69" w:rsidRPr="009608AB">
        <w:rPr>
          <w:rFonts w:ascii="Century Gothic" w:hAnsi="Century Gothic" w:cs="Calibri"/>
        </w:rPr>
        <w:t xml:space="preserve">increase </w:t>
      </w:r>
      <w:r w:rsidRPr="009608AB">
        <w:rPr>
          <w:rFonts w:ascii="Century Gothic" w:hAnsi="Century Gothic" w:cs="Calibri"/>
        </w:rPr>
        <w:t>to the average monthly residential non-C</w:t>
      </w:r>
      <w:r w:rsidR="00F26BE8" w:rsidRPr="009608AB">
        <w:rPr>
          <w:rFonts w:ascii="Century Gothic" w:hAnsi="Century Gothic" w:cs="Calibri"/>
        </w:rPr>
        <w:t>AR</w:t>
      </w:r>
      <w:r w:rsidR="00B51D18" w:rsidRPr="009608AB">
        <w:rPr>
          <w:rFonts w:ascii="Century Gothic" w:hAnsi="Century Gothic" w:cs="Calibri"/>
        </w:rPr>
        <w:t>E gas bill</w:t>
      </w:r>
      <w:r w:rsidR="00C26C4F" w:rsidRPr="009608AB">
        <w:rPr>
          <w:rStyle w:val="CommentReference"/>
          <w:rFonts w:ascii="Century Gothic" w:hAnsi="Century Gothic"/>
          <w:sz w:val="24"/>
          <w:szCs w:val="24"/>
        </w:rPr>
        <w:t xml:space="preserve"> an</w:t>
      </w:r>
      <w:r w:rsidR="00B51D18" w:rsidRPr="009608AB">
        <w:rPr>
          <w:rFonts w:ascii="Century Gothic" w:hAnsi="Century Gothic" w:cs="Calibri"/>
        </w:rPr>
        <w:t xml:space="preserve">d a </w:t>
      </w:r>
      <w:r w:rsidR="00B41C69" w:rsidRPr="009608AB">
        <w:rPr>
          <w:rFonts w:ascii="Century Gothic" w:hAnsi="Century Gothic" w:cs="Calibri"/>
        </w:rPr>
        <w:t>1</w:t>
      </w:r>
      <w:r w:rsidR="00423750">
        <w:rPr>
          <w:rFonts w:ascii="Century Gothic" w:hAnsi="Century Gothic" w:cs="Calibri"/>
        </w:rPr>
        <w:t>2.8</w:t>
      </w:r>
      <w:r w:rsidR="00B51D18" w:rsidRPr="009608AB">
        <w:rPr>
          <w:rFonts w:ascii="Century Gothic" w:hAnsi="Century Gothic" w:cs="Calibri"/>
        </w:rPr>
        <w:t xml:space="preserve">% </w:t>
      </w:r>
      <w:r w:rsidR="00B41C69" w:rsidRPr="009608AB">
        <w:rPr>
          <w:rFonts w:ascii="Century Gothic" w:hAnsi="Century Gothic" w:cs="Calibri"/>
        </w:rPr>
        <w:t xml:space="preserve">increase </w:t>
      </w:r>
      <w:r w:rsidR="00B51D18" w:rsidRPr="009608AB">
        <w:rPr>
          <w:rFonts w:ascii="Century Gothic" w:hAnsi="Century Gothic" w:cs="Calibri"/>
        </w:rPr>
        <w:t>to the average monthly residential CARE gas bill</w:t>
      </w:r>
      <w:r w:rsidR="00830429">
        <w:rPr>
          <w:rFonts w:ascii="Century Gothic" w:hAnsi="Century Gothic" w:cs="Calibri"/>
        </w:rPr>
        <w:t>.  T</w:t>
      </w:r>
      <w:r w:rsidR="00C26C4F" w:rsidRPr="009608AB">
        <w:rPr>
          <w:rFonts w:ascii="Century Gothic" w:hAnsi="Century Gothic" w:cs="Calibri"/>
        </w:rPr>
        <w:t xml:space="preserve">he </w:t>
      </w:r>
      <w:r w:rsidR="00A924F5" w:rsidRPr="009608AB">
        <w:rPr>
          <w:rFonts w:ascii="Century Gothic" w:hAnsi="Century Gothic" w:cs="Calibri"/>
        </w:rPr>
        <w:t xml:space="preserve">increase </w:t>
      </w:r>
      <w:r w:rsidR="00830429">
        <w:rPr>
          <w:rFonts w:ascii="Century Gothic" w:hAnsi="Century Gothic" w:cs="Calibri"/>
        </w:rPr>
        <w:t xml:space="preserve">is </w:t>
      </w:r>
      <w:r w:rsidR="00264202">
        <w:rPr>
          <w:rFonts w:ascii="Century Gothic" w:hAnsi="Century Gothic" w:cs="Calibri"/>
        </w:rPr>
        <w:t xml:space="preserve">mainly </w:t>
      </w:r>
      <w:r w:rsidR="00830429">
        <w:rPr>
          <w:rFonts w:ascii="Century Gothic" w:hAnsi="Century Gothic" w:cs="Calibri"/>
        </w:rPr>
        <w:t>due to</w:t>
      </w:r>
      <w:r w:rsidR="00C26C4F" w:rsidRPr="009608AB">
        <w:rPr>
          <w:rFonts w:ascii="Century Gothic" w:hAnsi="Century Gothic" w:cs="Calibri"/>
        </w:rPr>
        <w:t xml:space="preserve"> </w:t>
      </w:r>
      <w:r w:rsidR="00830429">
        <w:rPr>
          <w:rFonts w:ascii="Century Gothic" w:hAnsi="Century Gothic" w:cs="Calibri"/>
        </w:rPr>
        <w:t>PG&amp;E’s</w:t>
      </w:r>
      <w:r w:rsidR="00C26C4F" w:rsidRPr="009608AB">
        <w:rPr>
          <w:rFonts w:ascii="Century Gothic" w:hAnsi="Century Gothic" w:cs="Calibri"/>
        </w:rPr>
        <w:t xml:space="preserve"> </w:t>
      </w:r>
      <w:r w:rsidR="00FB593F" w:rsidRPr="009608AB">
        <w:rPr>
          <w:rFonts w:ascii="Century Gothic" w:hAnsi="Century Gothic" w:cs="Calibri"/>
        </w:rPr>
        <w:t>General Rate Case (</w:t>
      </w:r>
      <w:r w:rsidR="003C7145" w:rsidRPr="009608AB">
        <w:rPr>
          <w:rFonts w:ascii="Century Gothic" w:hAnsi="Century Gothic" w:cs="Calibri"/>
        </w:rPr>
        <w:t>GRC</w:t>
      </w:r>
      <w:r w:rsidR="00FB593F" w:rsidRPr="009608AB">
        <w:rPr>
          <w:rFonts w:ascii="Century Gothic" w:hAnsi="Century Gothic" w:cs="Calibri"/>
        </w:rPr>
        <w:t>)</w:t>
      </w:r>
      <w:r w:rsidR="00830429">
        <w:rPr>
          <w:rFonts w:ascii="Century Gothic" w:hAnsi="Century Gothic" w:cs="Calibri"/>
        </w:rPr>
        <w:t xml:space="preserve"> </w:t>
      </w:r>
      <w:r w:rsidR="00FA7A96">
        <w:rPr>
          <w:rFonts w:ascii="Century Gothic" w:hAnsi="Century Gothic" w:cs="Calibri"/>
        </w:rPr>
        <w:t>adjustments</w:t>
      </w:r>
      <w:r w:rsidR="00830429">
        <w:rPr>
          <w:rFonts w:ascii="Century Gothic" w:hAnsi="Century Gothic" w:cs="Calibri"/>
        </w:rPr>
        <w:t xml:space="preserve"> </w:t>
      </w:r>
      <w:r w:rsidR="002315B6">
        <w:rPr>
          <w:rFonts w:ascii="Century Gothic" w:hAnsi="Century Gothic" w:cs="Calibri"/>
        </w:rPr>
        <w:t>and the annual regulator</w:t>
      </w:r>
      <w:r w:rsidR="00075121">
        <w:rPr>
          <w:rFonts w:ascii="Century Gothic" w:hAnsi="Century Gothic" w:cs="Calibri"/>
        </w:rPr>
        <w:t>y</w:t>
      </w:r>
      <w:r w:rsidR="002315B6">
        <w:rPr>
          <w:rFonts w:ascii="Century Gothic" w:hAnsi="Century Gothic" w:cs="Calibri"/>
        </w:rPr>
        <w:t xml:space="preserve"> account balance update including Green House Gas (GHG) program costs</w:t>
      </w:r>
      <w:r w:rsidR="00473675">
        <w:rPr>
          <w:rFonts w:ascii="Century Gothic" w:hAnsi="Century Gothic" w:cs="Calibri"/>
        </w:rPr>
        <w:t xml:space="preserve"> </w:t>
      </w:r>
      <w:r w:rsidR="00264202">
        <w:rPr>
          <w:rFonts w:ascii="Century Gothic" w:hAnsi="Century Gothic" w:cs="Calibri"/>
        </w:rPr>
        <w:t>and gas customers’ share of w</w:t>
      </w:r>
      <w:r w:rsidR="00FB593F" w:rsidRPr="009608AB">
        <w:rPr>
          <w:rFonts w:ascii="Century Gothic" w:hAnsi="Century Gothic" w:cs="Calibri"/>
        </w:rPr>
        <w:t xml:space="preserve">ildfire </w:t>
      </w:r>
      <w:r w:rsidR="00264202">
        <w:rPr>
          <w:rFonts w:ascii="Century Gothic" w:hAnsi="Century Gothic" w:cs="Calibri"/>
        </w:rPr>
        <w:t>e</w:t>
      </w:r>
      <w:r w:rsidR="00FB593F" w:rsidRPr="009608AB">
        <w:rPr>
          <w:rFonts w:ascii="Century Gothic" w:hAnsi="Century Gothic" w:cs="Calibri"/>
        </w:rPr>
        <w:t>xpense</w:t>
      </w:r>
      <w:r w:rsidR="00264202">
        <w:rPr>
          <w:rFonts w:ascii="Century Gothic" w:hAnsi="Century Gothic" w:cs="Calibri"/>
        </w:rPr>
        <w:t>s</w:t>
      </w:r>
      <w:r w:rsidR="00473675">
        <w:rPr>
          <w:rFonts w:ascii="Century Gothic" w:hAnsi="Century Gothic" w:cs="Calibri"/>
        </w:rPr>
        <w:t>.</w:t>
      </w:r>
      <w:r w:rsidR="00473675" w:rsidRPr="00041B9D" w:rsidDel="00473675">
        <w:rPr>
          <w:rFonts w:ascii="Century Gothic" w:hAnsi="Century Gothic" w:cs="Calibri"/>
        </w:rPr>
        <w:t xml:space="preserve"> </w:t>
      </w:r>
      <w:r w:rsidR="00F441D0">
        <w:rPr>
          <w:rFonts w:ascii="Century Gothic" w:hAnsi="Century Gothic" w:cs="Calibri"/>
        </w:rPr>
        <w:t>The GHG program costs will be partially offset when PG&amp;E residential non-CARE and CARE customers receive the GHG climate credit in April 2022.</w:t>
      </w:r>
    </w:p>
    <w:p w14:paraId="24C8BA12" w14:textId="7B5D6F69" w:rsidR="00785260" w:rsidRPr="00E32F95" w:rsidRDefault="00785260" w:rsidP="009A4345">
      <w:pPr>
        <w:pBdr>
          <w:bottom w:val="dotted" w:sz="24" w:space="1" w:color="auto"/>
        </w:pBdr>
        <w:ind w:firstLine="0"/>
        <w:rPr>
          <w:rFonts w:ascii="Garamond" w:hAnsi="Garamond" w:cs="Calibri"/>
          <w:b/>
          <w:bCs/>
          <w:sz w:val="21"/>
          <w:szCs w:val="21"/>
        </w:rPr>
      </w:pPr>
    </w:p>
    <w:p w14:paraId="6A75793E" w14:textId="77777777" w:rsidR="0027768E" w:rsidRPr="00E32F95" w:rsidRDefault="0027768E" w:rsidP="0027768E">
      <w:pPr>
        <w:pStyle w:val="ListParagraph"/>
        <w:ind w:left="360" w:firstLine="0"/>
        <w:rPr>
          <w:rFonts w:ascii="Garamond" w:hAnsi="Garamond" w:cs="Calibri"/>
          <w:sz w:val="21"/>
          <w:szCs w:val="21"/>
          <w:u w:val="single"/>
        </w:rPr>
      </w:pPr>
    </w:p>
    <w:p w14:paraId="5F9A9FB7" w14:textId="169D3E2A" w:rsidR="002F7997" w:rsidRPr="008F62D4" w:rsidRDefault="002F7997" w:rsidP="002F7997">
      <w:pPr>
        <w:ind w:firstLine="0"/>
        <w:rPr>
          <w:rFonts w:ascii="Century Gothic" w:hAnsi="Century Gothic" w:cs="Calibri"/>
        </w:rPr>
      </w:pPr>
      <w:bookmarkStart w:id="0" w:name="_Hlk38358863"/>
      <w:r w:rsidRPr="008F62D4">
        <w:rPr>
          <w:rFonts w:ascii="Century Gothic" w:hAnsi="Century Gothic" w:cs="Calibri"/>
        </w:rPr>
        <w:t xml:space="preserve">The percentage increases in the table </w:t>
      </w:r>
      <w:r>
        <w:rPr>
          <w:rFonts w:ascii="Century Gothic" w:hAnsi="Century Gothic" w:cs="Calibri"/>
        </w:rPr>
        <w:t>below</w:t>
      </w:r>
      <w:r w:rsidRPr="008F62D4">
        <w:rPr>
          <w:rFonts w:ascii="Century Gothic" w:hAnsi="Century Gothic" w:cs="Calibri"/>
        </w:rPr>
        <w:t xml:space="preserve"> are total bill impact based on estimated commodity prices, with commodity prices held constant in order to calculate the isolated impact of these transportation and delivery rate increases. </w:t>
      </w:r>
      <w:r>
        <w:rPr>
          <w:rFonts w:ascii="Century Gothic" w:hAnsi="Century Gothic" w:cs="Calibri"/>
        </w:rPr>
        <w:t>G</w:t>
      </w:r>
      <w:r w:rsidRPr="008F62D4">
        <w:rPr>
          <w:rFonts w:ascii="Century Gothic" w:hAnsi="Century Gothic" w:cs="Calibri"/>
        </w:rPr>
        <w:t xml:space="preserve">as commodity prices this winter will be much more expensive than last winter, potentially close to </w:t>
      </w:r>
      <w:r w:rsidR="00E91768">
        <w:rPr>
          <w:rFonts w:ascii="Century Gothic" w:hAnsi="Century Gothic" w:cs="Calibri"/>
        </w:rPr>
        <w:t>70</w:t>
      </w:r>
      <w:r w:rsidRPr="008F62D4">
        <w:rPr>
          <w:rFonts w:ascii="Century Gothic" w:hAnsi="Century Gothic" w:cs="Calibri"/>
        </w:rPr>
        <w:t xml:space="preserve">% more on a per </w:t>
      </w:r>
      <w:proofErr w:type="spellStart"/>
      <w:r w:rsidRPr="008F62D4">
        <w:rPr>
          <w:rFonts w:ascii="Century Gothic" w:hAnsi="Century Gothic" w:cs="Calibri"/>
        </w:rPr>
        <w:t>therm</w:t>
      </w:r>
      <w:proofErr w:type="spellEnd"/>
      <w:r w:rsidRPr="008F62D4">
        <w:rPr>
          <w:rFonts w:ascii="Century Gothic" w:hAnsi="Century Gothic" w:cs="Calibri"/>
        </w:rPr>
        <w:t xml:space="preserve"> basis</w:t>
      </w:r>
      <w:r>
        <w:rPr>
          <w:rFonts w:ascii="Century Gothic" w:hAnsi="Century Gothic" w:cs="Calibri"/>
        </w:rPr>
        <w:t xml:space="preserve"> which </w:t>
      </w:r>
      <w:r w:rsidRPr="008F62D4">
        <w:rPr>
          <w:rFonts w:ascii="Century Gothic" w:hAnsi="Century Gothic" w:cs="Calibri"/>
        </w:rPr>
        <w:t>will lead to more increases</w:t>
      </w:r>
      <w:r>
        <w:rPr>
          <w:rFonts w:ascii="Century Gothic" w:hAnsi="Century Gothic" w:cs="Calibri"/>
        </w:rPr>
        <w:t xml:space="preserve"> in customer bills</w:t>
      </w:r>
      <w:r w:rsidRPr="008F62D4">
        <w:rPr>
          <w:rFonts w:ascii="Century Gothic" w:hAnsi="Century Gothic" w:cs="Calibri"/>
        </w:rPr>
        <w:t xml:space="preserve"> over the winter months.</w:t>
      </w:r>
      <w:r>
        <w:rPr>
          <w:rStyle w:val="FootnoteReference"/>
          <w:rFonts w:ascii="Century Gothic" w:hAnsi="Century Gothic" w:cs="Calibri"/>
        </w:rPr>
        <w:footnoteReference w:id="1"/>
      </w:r>
    </w:p>
    <w:p w14:paraId="39C5AD31" w14:textId="4D3C8EF4" w:rsidR="00140A6F" w:rsidRDefault="00140A6F" w:rsidP="00A24FB2">
      <w:pPr>
        <w:ind w:firstLine="0"/>
        <w:rPr>
          <w:rFonts w:ascii="Century Gothic" w:hAnsi="Century Gothic" w:cs="Calibri"/>
          <w:b/>
          <w:bCs/>
          <w:u w:val="single"/>
        </w:rPr>
      </w:pPr>
    </w:p>
    <w:p w14:paraId="1EF32B48" w14:textId="763ADC90" w:rsidR="00764CCE" w:rsidRPr="009608AB" w:rsidRDefault="009C2E65" w:rsidP="00A24FB2">
      <w:pPr>
        <w:ind w:firstLine="0"/>
        <w:rPr>
          <w:rFonts w:ascii="Century Gothic" w:hAnsi="Century Gothic" w:cs="Calibri"/>
          <w:b/>
          <w:bCs/>
          <w:u w:val="single"/>
        </w:rPr>
      </w:pPr>
      <w:r w:rsidRPr="009608AB">
        <w:rPr>
          <w:rFonts w:ascii="Century Gothic" w:hAnsi="Century Gothic" w:cs="Calibri"/>
          <w:b/>
          <w:bCs/>
          <w:u w:val="single"/>
        </w:rPr>
        <w:t>E</w:t>
      </w:r>
      <w:r w:rsidR="005E4368" w:rsidRPr="009608AB">
        <w:rPr>
          <w:rFonts w:ascii="Century Gothic" w:hAnsi="Century Gothic" w:cs="Calibri"/>
          <w:b/>
          <w:bCs/>
          <w:u w:val="single"/>
        </w:rPr>
        <w:t xml:space="preserve">stimated </w:t>
      </w:r>
      <w:r w:rsidR="00764CCE" w:rsidRPr="009608AB">
        <w:rPr>
          <w:rFonts w:ascii="Century Gothic" w:hAnsi="Century Gothic" w:cs="Calibri"/>
          <w:b/>
          <w:bCs/>
          <w:u w:val="single"/>
        </w:rPr>
        <w:t xml:space="preserve">residential bill impacts effective </w:t>
      </w:r>
      <w:r w:rsidR="001A21DB" w:rsidRPr="009608AB">
        <w:rPr>
          <w:rFonts w:ascii="Century Gothic" w:hAnsi="Century Gothic" w:cs="Calibri"/>
          <w:b/>
          <w:bCs/>
          <w:u w:val="single"/>
        </w:rPr>
        <w:t>January</w:t>
      </w:r>
      <w:r w:rsidR="00764CCE" w:rsidRPr="009608AB">
        <w:rPr>
          <w:rFonts w:ascii="Century Gothic" w:hAnsi="Century Gothic" w:cs="Calibri"/>
          <w:b/>
          <w:bCs/>
          <w:u w:val="single"/>
        </w:rPr>
        <w:t xml:space="preserve"> 1, 202</w:t>
      </w:r>
      <w:r w:rsidR="001923A9" w:rsidRPr="009608AB">
        <w:rPr>
          <w:rFonts w:ascii="Century Gothic" w:hAnsi="Century Gothic" w:cs="Calibri"/>
          <w:b/>
          <w:bCs/>
          <w:u w:val="single"/>
        </w:rPr>
        <w:t>2</w:t>
      </w:r>
      <w:r w:rsidR="00764CCE" w:rsidRPr="009608AB">
        <w:rPr>
          <w:rFonts w:ascii="Century Gothic" w:hAnsi="Century Gothic" w:cs="Calibri"/>
          <w:b/>
          <w:bCs/>
          <w:u w:val="single"/>
        </w:rPr>
        <w:t>:</w:t>
      </w:r>
    </w:p>
    <w:p w14:paraId="4511ACC8" w14:textId="01398554" w:rsidR="007A40A0" w:rsidRDefault="007A40A0" w:rsidP="005E5257">
      <w:pPr>
        <w:ind w:firstLine="0"/>
        <w:rPr>
          <w:rFonts w:ascii="Century Gothic" w:hAnsi="Century Gothic" w:cs="Calibri"/>
          <w:b/>
          <w:bCs/>
          <w:u w:val="single"/>
        </w:rPr>
      </w:pPr>
      <w:bookmarkStart w:id="1" w:name="_Hlk37939246"/>
      <w:bookmarkStart w:id="2" w:name="_Hlk58921683"/>
      <w:bookmarkEnd w:id="0"/>
    </w:p>
    <w:tbl>
      <w:tblPr>
        <w:tblStyle w:val="GridTable5Dark-Accent2"/>
        <w:tblW w:w="0" w:type="auto"/>
        <w:jc w:val="center"/>
        <w:tblLook w:val="04A0" w:firstRow="1" w:lastRow="0" w:firstColumn="1" w:lastColumn="0" w:noHBand="0" w:noVBand="1"/>
      </w:tblPr>
      <w:tblGrid>
        <w:gridCol w:w="5557"/>
        <w:gridCol w:w="1728"/>
      </w:tblGrid>
      <w:tr w:rsidR="006B6F73" w:rsidRPr="00A91BF9" w14:paraId="0A1B5460" w14:textId="77777777" w:rsidTr="004B5A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7" w:type="dxa"/>
          </w:tcPr>
          <w:p w14:paraId="59541952" w14:textId="77777777" w:rsidR="006B6F73" w:rsidRPr="00A91BF9" w:rsidRDefault="006B6F73" w:rsidP="004B5AEB">
            <w:pPr>
              <w:ind w:firstLine="0"/>
              <w:jc w:val="center"/>
              <w:rPr>
                <w:rFonts w:ascii="Century Gothic" w:hAnsi="Century Gothic" w:cs="Calibri"/>
                <w:b w:val="0"/>
                <w:bCs w:val="0"/>
              </w:rPr>
            </w:pPr>
            <w:r w:rsidRPr="00A91BF9">
              <w:rPr>
                <w:rFonts w:ascii="Century Gothic" w:hAnsi="Century Gothic" w:cs="Calibri"/>
              </w:rPr>
              <w:t>Estimated Bill Impact</w:t>
            </w:r>
            <w:r w:rsidRPr="00A91BF9">
              <w:rPr>
                <w:rStyle w:val="FootnoteReference"/>
                <w:rFonts w:ascii="Century Gothic" w:hAnsi="Century Gothic" w:cs="Calibri"/>
              </w:rPr>
              <w:footnoteReference w:id="2"/>
            </w:r>
            <w:r w:rsidRPr="00A91BF9">
              <w:rPr>
                <w:rFonts w:ascii="Century Gothic" w:hAnsi="Century Gothic" w:cs="Calibri"/>
              </w:rPr>
              <w:t xml:space="preserve"> – Consolidated Rate Update</w:t>
            </w:r>
          </w:p>
          <w:p w14:paraId="0A5C4568" w14:textId="77777777" w:rsidR="006B6F73" w:rsidRPr="00A91BF9" w:rsidRDefault="006B6F73" w:rsidP="004B5AEB">
            <w:pPr>
              <w:ind w:firstLine="0"/>
              <w:jc w:val="center"/>
              <w:rPr>
                <w:rFonts w:ascii="Century Gothic" w:hAnsi="Century Gothic" w:cs="Calibri"/>
              </w:rPr>
            </w:pPr>
          </w:p>
        </w:tc>
        <w:tc>
          <w:tcPr>
            <w:tcW w:w="1728" w:type="dxa"/>
          </w:tcPr>
          <w:p w14:paraId="10DF6413" w14:textId="7322FDE5" w:rsidR="006B6F73" w:rsidRPr="00A91BF9" w:rsidRDefault="0022262D" w:rsidP="004B5AEB">
            <w:pPr>
              <w:ind w:firstLine="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b w:val="0"/>
                <w:bCs w:val="0"/>
              </w:rPr>
            </w:pPr>
            <w:r>
              <w:rPr>
                <w:rFonts w:ascii="Century Gothic" w:hAnsi="Century Gothic" w:cs="Calibri"/>
              </w:rPr>
              <w:t>PG</w:t>
            </w:r>
            <w:r w:rsidR="006B6F73" w:rsidRPr="00A91BF9">
              <w:rPr>
                <w:rFonts w:ascii="Century Gothic" w:hAnsi="Century Gothic" w:cs="Calibri"/>
              </w:rPr>
              <w:t xml:space="preserve">&amp;E </w:t>
            </w:r>
          </w:p>
          <w:p w14:paraId="650EF6B4" w14:textId="77777777" w:rsidR="006B6F73" w:rsidRPr="00A91BF9" w:rsidRDefault="006B6F73" w:rsidP="004B5AEB">
            <w:pPr>
              <w:ind w:firstLine="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Calibri"/>
              </w:rPr>
            </w:pPr>
            <w:r w:rsidRPr="00A91BF9">
              <w:rPr>
                <w:rFonts w:ascii="Century Gothic" w:hAnsi="Century Gothic" w:cs="Calibri"/>
              </w:rPr>
              <w:t>Jan 1, 2022</w:t>
            </w:r>
          </w:p>
        </w:tc>
      </w:tr>
      <w:tr w:rsidR="006B6F73" w:rsidRPr="00A91BF9" w14:paraId="299B38DA" w14:textId="77777777" w:rsidTr="004B5AEB">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5557" w:type="dxa"/>
            <w:vAlign w:val="center"/>
          </w:tcPr>
          <w:p w14:paraId="55809973" w14:textId="7F12763F" w:rsidR="006B6F73" w:rsidRPr="00A91BF9" w:rsidRDefault="006B6F73" w:rsidP="004B5AEB">
            <w:pPr>
              <w:pStyle w:val="ListParagraph"/>
              <w:numPr>
                <w:ilvl w:val="0"/>
                <w:numId w:val="6"/>
              </w:numPr>
              <w:rPr>
                <w:rFonts w:ascii="Century Gothic" w:hAnsi="Century Gothic" w:cs="Calibri"/>
                <w:b w:val="0"/>
                <w:bCs w:val="0"/>
              </w:rPr>
            </w:pPr>
            <w:r w:rsidRPr="00A91BF9">
              <w:rPr>
                <w:rFonts w:ascii="Century Gothic" w:hAnsi="Century Gothic" w:cs="Calibri"/>
                <w:b w:val="0"/>
                <w:bCs w:val="0"/>
              </w:rPr>
              <w:t>Average monthly residential non-CARE gas bill</w:t>
            </w:r>
            <w:r w:rsidR="009D2C0A">
              <w:rPr>
                <w:rStyle w:val="FootnoteReference"/>
                <w:rFonts w:ascii="Century Gothic" w:hAnsi="Century Gothic" w:cs="Calibri"/>
                <w:b w:val="0"/>
                <w:bCs w:val="0"/>
              </w:rPr>
              <w:footnoteReference w:id="3"/>
            </w:r>
          </w:p>
        </w:tc>
        <w:tc>
          <w:tcPr>
            <w:tcW w:w="1728" w:type="dxa"/>
            <w:vAlign w:val="center"/>
          </w:tcPr>
          <w:p w14:paraId="418BC1EB" w14:textId="01A25D18" w:rsidR="006B6F73" w:rsidRPr="00A91BF9" w:rsidRDefault="006B6F73" w:rsidP="004B5AEB">
            <w:pPr>
              <w:ind w:firstLine="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A91BF9">
              <w:rPr>
                <w:rFonts w:ascii="Century Gothic" w:hAnsi="Century Gothic"/>
              </w:rPr>
              <w:t xml:space="preserve"> </w:t>
            </w:r>
            <w:r w:rsidR="0022262D" w:rsidRPr="0022262D">
              <w:rPr>
                <w:rFonts w:ascii="Century Gothic" w:hAnsi="Century Gothic" w:cs="Calibri"/>
              </w:rPr>
              <w:t>$67.33</w:t>
            </w:r>
          </w:p>
        </w:tc>
      </w:tr>
      <w:tr w:rsidR="006B6F73" w:rsidRPr="00A91BF9" w14:paraId="5525CF72" w14:textId="77777777" w:rsidTr="004B5AEB">
        <w:trPr>
          <w:jc w:val="center"/>
        </w:trPr>
        <w:tc>
          <w:tcPr>
            <w:cnfStyle w:val="001000000000" w:firstRow="0" w:lastRow="0" w:firstColumn="1" w:lastColumn="0" w:oddVBand="0" w:evenVBand="0" w:oddHBand="0" w:evenHBand="0" w:firstRowFirstColumn="0" w:firstRowLastColumn="0" w:lastRowFirstColumn="0" w:lastRowLastColumn="0"/>
            <w:tcW w:w="5557" w:type="dxa"/>
            <w:vAlign w:val="center"/>
          </w:tcPr>
          <w:p w14:paraId="42E0CCED" w14:textId="77777777" w:rsidR="006B6F73" w:rsidRPr="00A91BF9" w:rsidRDefault="006B6F73" w:rsidP="004B5AEB">
            <w:pPr>
              <w:pStyle w:val="ListParagraph"/>
              <w:numPr>
                <w:ilvl w:val="0"/>
                <w:numId w:val="6"/>
              </w:numPr>
              <w:rPr>
                <w:rFonts w:ascii="Century Gothic" w:hAnsi="Century Gothic" w:cs="Calibri"/>
                <w:b w:val="0"/>
                <w:bCs w:val="0"/>
              </w:rPr>
            </w:pPr>
            <w:r w:rsidRPr="00A91BF9">
              <w:rPr>
                <w:rFonts w:ascii="Century Gothic" w:hAnsi="Century Gothic" w:cs="Calibri"/>
                <w:b w:val="0"/>
                <w:bCs w:val="0"/>
              </w:rPr>
              <w:t>Average monthly residential non-CARE gas bill increase</w:t>
            </w:r>
          </w:p>
        </w:tc>
        <w:tc>
          <w:tcPr>
            <w:tcW w:w="1728" w:type="dxa"/>
            <w:vAlign w:val="center"/>
          </w:tcPr>
          <w:p w14:paraId="45226FBF" w14:textId="749BDF00" w:rsidR="006B6F73" w:rsidRPr="00A91BF9" w:rsidRDefault="0022262D" w:rsidP="004B5AEB">
            <w:pPr>
              <w:ind w:firstLine="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rPr>
            </w:pPr>
            <w:r w:rsidRPr="0022262D">
              <w:rPr>
                <w:rFonts w:ascii="Century Gothic" w:hAnsi="Century Gothic" w:cs="Calibri"/>
              </w:rPr>
              <w:t>$7.25 or 12.1%</w:t>
            </w:r>
          </w:p>
        </w:tc>
      </w:tr>
      <w:tr w:rsidR="006B6F73" w:rsidRPr="00A91BF9" w14:paraId="21170174" w14:textId="77777777" w:rsidTr="004B5AEB">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5557" w:type="dxa"/>
            <w:vAlign w:val="center"/>
          </w:tcPr>
          <w:p w14:paraId="2694392F" w14:textId="77777777" w:rsidR="006B6F73" w:rsidRPr="00A91BF9" w:rsidRDefault="006B6F73" w:rsidP="004B5AEB">
            <w:pPr>
              <w:pStyle w:val="ListParagraph"/>
              <w:numPr>
                <w:ilvl w:val="0"/>
                <w:numId w:val="6"/>
              </w:numPr>
              <w:rPr>
                <w:rFonts w:ascii="Century Gothic" w:hAnsi="Century Gothic" w:cs="Calibri"/>
                <w:b w:val="0"/>
                <w:bCs w:val="0"/>
              </w:rPr>
            </w:pPr>
            <w:r w:rsidRPr="00A91BF9">
              <w:rPr>
                <w:rFonts w:ascii="Century Gothic" w:hAnsi="Century Gothic" w:cs="Calibri"/>
                <w:b w:val="0"/>
                <w:bCs w:val="0"/>
              </w:rPr>
              <w:t>Average monthly residential CARE gas bill</w:t>
            </w:r>
          </w:p>
        </w:tc>
        <w:tc>
          <w:tcPr>
            <w:tcW w:w="1728" w:type="dxa"/>
            <w:vAlign w:val="center"/>
          </w:tcPr>
          <w:p w14:paraId="1F6281B7" w14:textId="216E5BB1" w:rsidR="006B6F73" w:rsidRPr="00A91BF9" w:rsidRDefault="0022262D" w:rsidP="004B5AEB">
            <w:pPr>
              <w:ind w:firstLine="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22262D">
              <w:rPr>
                <w:rFonts w:ascii="Century Gothic" w:hAnsi="Century Gothic"/>
              </w:rPr>
              <w:t>$53.16</w:t>
            </w:r>
          </w:p>
        </w:tc>
      </w:tr>
      <w:tr w:rsidR="006B6F73" w:rsidRPr="00A91BF9" w14:paraId="3111608D" w14:textId="77777777" w:rsidTr="004B5AEB">
        <w:trPr>
          <w:trHeight w:val="413"/>
          <w:jc w:val="center"/>
        </w:trPr>
        <w:tc>
          <w:tcPr>
            <w:cnfStyle w:val="001000000000" w:firstRow="0" w:lastRow="0" w:firstColumn="1" w:lastColumn="0" w:oddVBand="0" w:evenVBand="0" w:oddHBand="0" w:evenHBand="0" w:firstRowFirstColumn="0" w:firstRowLastColumn="0" w:lastRowFirstColumn="0" w:lastRowLastColumn="0"/>
            <w:tcW w:w="5557" w:type="dxa"/>
            <w:vAlign w:val="center"/>
          </w:tcPr>
          <w:p w14:paraId="0A9F8CEB" w14:textId="77777777" w:rsidR="006B6F73" w:rsidRPr="00A91BF9" w:rsidRDefault="006B6F73" w:rsidP="004B5AEB">
            <w:pPr>
              <w:pStyle w:val="ListParagraph"/>
              <w:numPr>
                <w:ilvl w:val="0"/>
                <w:numId w:val="6"/>
              </w:numPr>
              <w:rPr>
                <w:rFonts w:ascii="Century Gothic" w:hAnsi="Century Gothic" w:cs="Calibri"/>
                <w:b w:val="0"/>
                <w:bCs w:val="0"/>
              </w:rPr>
            </w:pPr>
            <w:r w:rsidRPr="00A91BF9">
              <w:rPr>
                <w:rFonts w:ascii="Century Gothic" w:hAnsi="Century Gothic" w:cs="Calibri"/>
                <w:b w:val="0"/>
                <w:bCs w:val="0"/>
              </w:rPr>
              <w:t>Average monthly residential CARE gas bill increase</w:t>
            </w:r>
          </w:p>
        </w:tc>
        <w:tc>
          <w:tcPr>
            <w:tcW w:w="1728" w:type="dxa"/>
            <w:vAlign w:val="center"/>
          </w:tcPr>
          <w:p w14:paraId="25EDDBAE" w14:textId="0FF79B84" w:rsidR="006B6F73" w:rsidRPr="00A91BF9" w:rsidRDefault="0022262D" w:rsidP="004B5AEB">
            <w:pPr>
              <w:ind w:firstLine="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rPr>
            </w:pPr>
            <w:r w:rsidRPr="0022262D">
              <w:rPr>
                <w:rFonts w:ascii="Century Gothic" w:hAnsi="Century Gothic" w:cs="Calibri"/>
              </w:rPr>
              <w:t>$6.02 or 12.8%</w:t>
            </w:r>
          </w:p>
        </w:tc>
      </w:tr>
    </w:tbl>
    <w:p w14:paraId="16BC8557" w14:textId="77777777" w:rsidR="006B6F73" w:rsidRPr="009608AB" w:rsidRDefault="006B6F73" w:rsidP="005E5257">
      <w:pPr>
        <w:ind w:firstLine="0"/>
        <w:rPr>
          <w:rFonts w:ascii="Century Gothic" w:hAnsi="Century Gothic" w:cs="Calibri"/>
          <w:b/>
          <w:bCs/>
          <w:u w:val="single"/>
        </w:rPr>
      </w:pPr>
    </w:p>
    <w:p w14:paraId="39BEB1B6" w14:textId="02CBD801" w:rsidR="00F441D0" w:rsidRDefault="00BB5C7B" w:rsidP="009608AB">
      <w:pPr>
        <w:rPr>
          <w:rFonts w:ascii="Century Gothic" w:hAnsi="Century Gothic" w:cs="Calibri"/>
        </w:rPr>
      </w:pPr>
      <w:r w:rsidRPr="009608AB">
        <w:rPr>
          <w:rFonts w:ascii="Century Gothic" w:hAnsi="Century Gothic" w:cs="Calibri"/>
          <w:b/>
          <w:bCs/>
          <w:u w:val="single"/>
        </w:rPr>
        <w:lastRenderedPageBreak/>
        <w:t>Summary</w:t>
      </w:r>
    </w:p>
    <w:p w14:paraId="1CFB36B6" w14:textId="77777777" w:rsidR="00F441D0" w:rsidRDefault="00F441D0" w:rsidP="000C0943">
      <w:pPr>
        <w:ind w:left="360" w:firstLine="0"/>
        <w:rPr>
          <w:rFonts w:ascii="Century Gothic" w:hAnsi="Century Gothic" w:cs="Calibri"/>
        </w:rPr>
      </w:pPr>
    </w:p>
    <w:p w14:paraId="7137EE47" w14:textId="612A427A" w:rsidR="000C0943" w:rsidRPr="009608AB" w:rsidRDefault="003075DE" w:rsidP="000C0943">
      <w:pPr>
        <w:ind w:left="360" w:firstLine="0"/>
        <w:rPr>
          <w:rFonts w:ascii="Century Gothic" w:hAnsi="Century Gothic" w:cs="Calibri"/>
        </w:rPr>
      </w:pPr>
      <w:r>
        <w:rPr>
          <w:rFonts w:ascii="Century Gothic" w:hAnsi="Century Gothic" w:cs="Calibri"/>
        </w:rPr>
        <w:t>PG&amp;E</w:t>
      </w:r>
      <w:r w:rsidR="00F441D0">
        <w:rPr>
          <w:rFonts w:ascii="Century Gothic" w:hAnsi="Century Gothic" w:cs="Calibri"/>
        </w:rPr>
        <w:t>’</w:t>
      </w:r>
      <w:r>
        <w:rPr>
          <w:rFonts w:ascii="Century Gothic" w:hAnsi="Century Gothic" w:cs="Calibri"/>
        </w:rPr>
        <w:t xml:space="preserve">s </w:t>
      </w:r>
      <w:r w:rsidR="00646707">
        <w:rPr>
          <w:rFonts w:ascii="Century Gothic" w:hAnsi="Century Gothic" w:cs="Calibri"/>
        </w:rPr>
        <w:t xml:space="preserve">AGT AL filing will consolidate several previously approved advice letters and </w:t>
      </w:r>
      <w:r w:rsidR="00F441D0">
        <w:rPr>
          <w:rFonts w:ascii="Century Gothic" w:hAnsi="Century Gothic" w:cs="Calibri"/>
        </w:rPr>
        <w:t>decisions that reflect authorized gas revenue and gas changes, and are estimated as follows</w:t>
      </w:r>
      <w:r w:rsidR="000C0943" w:rsidRPr="009608AB">
        <w:rPr>
          <w:rFonts w:ascii="Century Gothic" w:hAnsi="Century Gothic" w:cs="Calibri"/>
        </w:rPr>
        <w:t>:</w:t>
      </w:r>
    </w:p>
    <w:p w14:paraId="7915C200" w14:textId="77777777" w:rsidR="007A40A0" w:rsidRPr="009608AB" w:rsidRDefault="007A40A0" w:rsidP="00BB5C7B">
      <w:pPr>
        <w:rPr>
          <w:rFonts w:ascii="Century Gothic" w:hAnsi="Century Gothic" w:cs="Calibri"/>
          <w:b/>
          <w:bCs/>
        </w:rPr>
      </w:pPr>
    </w:p>
    <w:p w14:paraId="7BA3415F" w14:textId="2C7B6E3A" w:rsidR="002B2345" w:rsidRDefault="00BB5C7B" w:rsidP="002B2345">
      <w:pPr>
        <w:pStyle w:val="ListParagraph"/>
        <w:numPr>
          <w:ilvl w:val="0"/>
          <w:numId w:val="29"/>
        </w:numPr>
        <w:rPr>
          <w:rFonts w:ascii="Century Gothic" w:hAnsi="Century Gothic" w:cs="Calibri"/>
        </w:rPr>
      </w:pPr>
      <w:r w:rsidRPr="009608AB">
        <w:rPr>
          <w:rFonts w:ascii="Century Gothic" w:hAnsi="Century Gothic" w:cs="Calibri"/>
        </w:rPr>
        <w:t>$</w:t>
      </w:r>
      <w:r w:rsidR="00F108F1" w:rsidRPr="009608AB">
        <w:rPr>
          <w:rFonts w:ascii="Century Gothic" w:hAnsi="Century Gothic" w:cs="Calibri"/>
        </w:rPr>
        <w:t>4,</w:t>
      </w:r>
      <w:r w:rsidR="00063443">
        <w:rPr>
          <w:rFonts w:ascii="Century Gothic" w:hAnsi="Century Gothic" w:cs="Calibri"/>
        </w:rPr>
        <w:t>413</w:t>
      </w:r>
      <w:r w:rsidRPr="009608AB">
        <w:rPr>
          <w:rFonts w:ascii="Century Gothic" w:hAnsi="Century Gothic" w:cs="Calibri"/>
        </w:rPr>
        <w:t xml:space="preserve"> million</w:t>
      </w:r>
      <w:r w:rsidR="00A12471" w:rsidRPr="009608AB">
        <w:rPr>
          <w:rFonts w:ascii="Century Gothic" w:hAnsi="Century Gothic" w:cs="Calibri"/>
        </w:rPr>
        <w:t xml:space="preserve"> in total transportation revenues</w:t>
      </w:r>
      <w:r w:rsidR="00E521EA" w:rsidRPr="009608AB">
        <w:rPr>
          <w:rFonts w:ascii="Century Gothic" w:hAnsi="Century Gothic" w:cs="Calibri"/>
        </w:rPr>
        <w:t>, resulting in</w:t>
      </w:r>
      <w:r w:rsidR="00240AD5" w:rsidRPr="009608AB">
        <w:rPr>
          <w:rFonts w:ascii="Century Gothic" w:hAnsi="Century Gothic" w:cs="Calibri"/>
        </w:rPr>
        <w:t xml:space="preserve"> </w:t>
      </w:r>
      <w:r w:rsidRPr="009608AB">
        <w:rPr>
          <w:rFonts w:ascii="Century Gothic" w:hAnsi="Century Gothic" w:cs="Calibri"/>
        </w:rPr>
        <w:t>a $</w:t>
      </w:r>
      <w:r w:rsidR="00063443">
        <w:rPr>
          <w:rFonts w:ascii="Century Gothic" w:hAnsi="Century Gothic" w:cs="Calibri"/>
        </w:rPr>
        <w:t>390</w:t>
      </w:r>
      <w:r w:rsidR="00063443" w:rsidRPr="009608AB">
        <w:rPr>
          <w:rFonts w:ascii="Century Gothic" w:hAnsi="Century Gothic" w:cs="Calibri"/>
        </w:rPr>
        <w:t xml:space="preserve"> </w:t>
      </w:r>
      <w:r w:rsidRPr="009608AB">
        <w:rPr>
          <w:rFonts w:ascii="Century Gothic" w:hAnsi="Century Gothic" w:cs="Calibri"/>
        </w:rPr>
        <w:t>million increase compared to present rates</w:t>
      </w:r>
      <w:r w:rsidR="002B2345" w:rsidRPr="009608AB">
        <w:rPr>
          <w:rFonts w:ascii="Century Gothic" w:hAnsi="Century Gothic" w:cs="Calibri"/>
        </w:rPr>
        <w:t xml:space="preserve"> – </w:t>
      </w:r>
      <w:r w:rsidR="00F441D0">
        <w:rPr>
          <w:rFonts w:ascii="Century Gothic" w:hAnsi="Century Gothic" w:cs="Calibri"/>
        </w:rPr>
        <w:t>AL</w:t>
      </w:r>
      <w:r w:rsidR="002B2345" w:rsidRPr="009608AB">
        <w:rPr>
          <w:rFonts w:ascii="Century Gothic" w:hAnsi="Century Gothic" w:cs="Calibri"/>
        </w:rPr>
        <w:t xml:space="preserve"> 4</w:t>
      </w:r>
      <w:r w:rsidR="00B22BB6" w:rsidRPr="009608AB">
        <w:rPr>
          <w:rFonts w:ascii="Century Gothic" w:hAnsi="Century Gothic" w:cs="Calibri"/>
        </w:rPr>
        <w:t>5</w:t>
      </w:r>
      <w:r w:rsidR="00601CB2">
        <w:rPr>
          <w:rFonts w:ascii="Century Gothic" w:hAnsi="Century Gothic" w:cs="Calibri"/>
        </w:rPr>
        <w:t>43</w:t>
      </w:r>
      <w:r w:rsidR="002B2345" w:rsidRPr="009608AB">
        <w:rPr>
          <w:rFonts w:ascii="Century Gothic" w:hAnsi="Century Gothic" w:cs="Calibri"/>
        </w:rPr>
        <w:t>-G</w:t>
      </w:r>
    </w:p>
    <w:p w14:paraId="7270B71D" w14:textId="164080EA" w:rsidR="00C743E1" w:rsidRPr="009608AB" w:rsidRDefault="00C743E1" w:rsidP="002B2345">
      <w:pPr>
        <w:pStyle w:val="ListParagraph"/>
        <w:numPr>
          <w:ilvl w:val="0"/>
          <w:numId w:val="29"/>
        </w:numPr>
        <w:rPr>
          <w:rFonts w:ascii="Century Gothic" w:hAnsi="Century Gothic" w:cs="Calibri"/>
        </w:rPr>
      </w:pPr>
      <w:r>
        <w:rPr>
          <w:rFonts w:ascii="Century Gothic" w:hAnsi="Century Gothic" w:cs="Calibri"/>
        </w:rPr>
        <w:t>2022 GRC Adjustment: $</w:t>
      </w:r>
      <w:r w:rsidR="00DD1169">
        <w:rPr>
          <w:rFonts w:ascii="Century Gothic" w:hAnsi="Century Gothic" w:cs="Calibri"/>
        </w:rPr>
        <w:t>10</w:t>
      </w:r>
      <w:r w:rsidR="002A56EF">
        <w:rPr>
          <w:rFonts w:ascii="Century Gothic" w:hAnsi="Century Gothic" w:cs="Calibri"/>
        </w:rPr>
        <w:t>5.9</w:t>
      </w:r>
      <w:r w:rsidR="00DD1169">
        <w:rPr>
          <w:rFonts w:ascii="Century Gothic" w:hAnsi="Century Gothic" w:cs="Calibri"/>
        </w:rPr>
        <w:t xml:space="preserve"> million</w:t>
      </w:r>
      <w:r w:rsidR="007663C4">
        <w:rPr>
          <w:rFonts w:ascii="Century Gothic" w:hAnsi="Century Gothic" w:cs="Calibri"/>
        </w:rPr>
        <w:t xml:space="preserve"> increase</w:t>
      </w:r>
      <w:r w:rsidR="0039567E">
        <w:rPr>
          <w:rFonts w:ascii="Century Gothic" w:hAnsi="Century Gothic" w:cs="Calibri"/>
        </w:rPr>
        <w:t xml:space="preserve"> – D.20-12-005</w:t>
      </w:r>
    </w:p>
    <w:p w14:paraId="225F6531" w14:textId="6D78DED3" w:rsidR="002E76C5" w:rsidRPr="00FA2D90" w:rsidRDefault="002E76C5" w:rsidP="002B2345">
      <w:pPr>
        <w:pStyle w:val="ListParagraph"/>
        <w:numPr>
          <w:ilvl w:val="0"/>
          <w:numId w:val="29"/>
        </w:numPr>
        <w:rPr>
          <w:rFonts w:ascii="Century Gothic" w:hAnsi="Century Gothic" w:cs="Calibri"/>
        </w:rPr>
      </w:pPr>
      <w:r w:rsidRPr="00FA2D90">
        <w:rPr>
          <w:rFonts w:ascii="Century Gothic" w:hAnsi="Century Gothic" w:cs="Calibri"/>
        </w:rPr>
        <w:t xml:space="preserve">Sale of </w:t>
      </w:r>
      <w:r w:rsidR="00C84A8F" w:rsidRPr="00FA2D90">
        <w:rPr>
          <w:rFonts w:ascii="Century Gothic" w:hAnsi="Century Gothic" w:cs="Calibri"/>
        </w:rPr>
        <w:t xml:space="preserve">transmission </w:t>
      </w:r>
      <w:r w:rsidRPr="00FA2D90">
        <w:rPr>
          <w:rFonts w:ascii="Century Gothic" w:hAnsi="Century Gothic" w:cs="Calibri"/>
        </w:rPr>
        <w:t>Line 306</w:t>
      </w:r>
      <w:r w:rsidR="00C84A8F" w:rsidRPr="00FA2D90">
        <w:rPr>
          <w:rFonts w:ascii="Century Gothic" w:hAnsi="Century Gothic" w:cs="Calibri"/>
        </w:rPr>
        <w:t xml:space="preserve"> to SoCalGas</w:t>
      </w:r>
      <w:r w:rsidR="001E1F4C" w:rsidRPr="00FA2D90">
        <w:rPr>
          <w:rFonts w:ascii="Century Gothic" w:hAnsi="Century Gothic" w:cs="Calibri"/>
        </w:rPr>
        <w:t xml:space="preserve">, </w:t>
      </w:r>
      <w:r w:rsidR="002831AB" w:rsidRPr="00FA2D90">
        <w:rPr>
          <w:rFonts w:ascii="Century Gothic" w:hAnsi="Century Gothic" w:cs="Calibri"/>
        </w:rPr>
        <w:t>$1.2 million</w:t>
      </w:r>
      <w:r w:rsidR="002864DF" w:rsidRPr="00FA2D90">
        <w:rPr>
          <w:rFonts w:ascii="Century Gothic" w:hAnsi="Century Gothic" w:cs="Calibri"/>
        </w:rPr>
        <w:t xml:space="preserve"> </w:t>
      </w:r>
      <w:r w:rsidR="005F452E" w:rsidRPr="00FA2D90">
        <w:rPr>
          <w:rFonts w:ascii="Century Gothic" w:hAnsi="Century Gothic" w:cs="Calibri"/>
        </w:rPr>
        <w:t xml:space="preserve">decrease </w:t>
      </w:r>
      <w:r w:rsidRPr="00FA2D90">
        <w:rPr>
          <w:rFonts w:ascii="Century Gothic" w:hAnsi="Century Gothic" w:cs="Calibri"/>
        </w:rPr>
        <w:t>– D.20-03</w:t>
      </w:r>
      <w:r w:rsidR="00690E72" w:rsidRPr="00FA2D90">
        <w:rPr>
          <w:rFonts w:ascii="Century Gothic" w:hAnsi="Century Gothic" w:cs="Calibri"/>
        </w:rPr>
        <w:t>-018</w:t>
      </w:r>
      <w:r w:rsidR="005E5766" w:rsidRPr="00FA2D90">
        <w:rPr>
          <w:rFonts w:ascii="Century Gothic" w:hAnsi="Century Gothic" w:cs="Calibri"/>
        </w:rPr>
        <w:t>, AL 4437-G</w:t>
      </w:r>
      <w:r w:rsidR="00C84A8F" w:rsidRPr="00FA2D90">
        <w:rPr>
          <w:rFonts w:ascii="Century Gothic" w:hAnsi="Century Gothic" w:cs="Calibri"/>
        </w:rPr>
        <w:t xml:space="preserve"> </w:t>
      </w:r>
    </w:p>
    <w:p w14:paraId="689A6B18" w14:textId="65E9EEFF" w:rsidR="00690E72" w:rsidRPr="009608AB" w:rsidRDefault="0068433F" w:rsidP="002B2345">
      <w:pPr>
        <w:pStyle w:val="ListParagraph"/>
        <w:numPr>
          <w:ilvl w:val="0"/>
          <w:numId w:val="29"/>
        </w:numPr>
        <w:rPr>
          <w:rFonts w:ascii="Century Gothic" w:hAnsi="Century Gothic" w:cs="Calibri"/>
        </w:rPr>
      </w:pPr>
      <w:r w:rsidRPr="009608AB">
        <w:rPr>
          <w:rFonts w:ascii="Century Gothic" w:hAnsi="Century Gothic" w:cs="Calibri"/>
        </w:rPr>
        <w:t>Revenue Fees and Uncollectible (RF&amp;U)</w:t>
      </w:r>
      <w:r w:rsidR="00B207E6">
        <w:rPr>
          <w:rFonts w:ascii="Century Gothic" w:hAnsi="Century Gothic" w:cs="Calibri"/>
        </w:rPr>
        <w:t>, $</w:t>
      </w:r>
      <w:r w:rsidR="000540F9">
        <w:rPr>
          <w:rFonts w:ascii="Century Gothic" w:hAnsi="Century Gothic" w:cs="Calibri"/>
        </w:rPr>
        <w:t>4.4</w:t>
      </w:r>
      <w:r w:rsidR="00B207E6">
        <w:rPr>
          <w:rFonts w:ascii="Century Gothic" w:hAnsi="Century Gothic" w:cs="Calibri"/>
        </w:rPr>
        <w:t xml:space="preserve"> million</w:t>
      </w:r>
      <w:r w:rsidR="005F452E">
        <w:rPr>
          <w:rFonts w:ascii="Century Gothic" w:hAnsi="Century Gothic" w:cs="Calibri"/>
        </w:rPr>
        <w:t xml:space="preserve"> increase</w:t>
      </w:r>
      <w:r w:rsidRPr="009608AB">
        <w:rPr>
          <w:rFonts w:ascii="Century Gothic" w:hAnsi="Century Gothic" w:cs="Calibri"/>
        </w:rPr>
        <w:t xml:space="preserve"> – AL 4512-G/6373-E</w:t>
      </w:r>
    </w:p>
    <w:p w14:paraId="5E54138C" w14:textId="61616EF5" w:rsidR="0068433F" w:rsidRDefault="00BD75EB" w:rsidP="002B2345">
      <w:pPr>
        <w:pStyle w:val="ListParagraph"/>
        <w:numPr>
          <w:ilvl w:val="0"/>
          <w:numId w:val="29"/>
        </w:numPr>
        <w:rPr>
          <w:rFonts w:ascii="Century Gothic" w:hAnsi="Century Gothic" w:cs="Calibri"/>
        </w:rPr>
      </w:pPr>
      <w:r w:rsidRPr="009608AB">
        <w:rPr>
          <w:rFonts w:ascii="Century Gothic" w:hAnsi="Century Gothic" w:cs="Calibri"/>
        </w:rPr>
        <w:t>Wildfire Mitigation Balancing Account (WMBA)</w:t>
      </w:r>
      <w:r w:rsidR="00440F9C">
        <w:rPr>
          <w:rFonts w:ascii="Century Gothic" w:hAnsi="Century Gothic" w:cs="Calibri"/>
        </w:rPr>
        <w:t>, $2.</w:t>
      </w:r>
      <w:r w:rsidR="001556DE">
        <w:rPr>
          <w:rFonts w:ascii="Century Gothic" w:hAnsi="Century Gothic" w:cs="Calibri"/>
        </w:rPr>
        <w:t>7</w:t>
      </w:r>
      <w:r w:rsidR="00440F9C">
        <w:rPr>
          <w:rFonts w:ascii="Century Gothic" w:hAnsi="Century Gothic" w:cs="Calibri"/>
        </w:rPr>
        <w:t xml:space="preserve"> million</w:t>
      </w:r>
      <w:r w:rsidR="00D37336" w:rsidRPr="009608AB">
        <w:rPr>
          <w:rFonts w:ascii="Century Gothic" w:hAnsi="Century Gothic" w:cs="Calibri"/>
        </w:rPr>
        <w:t xml:space="preserve"> </w:t>
      </w:r>
      <w:r w:rsidR="005F452E">
        <w:rPr>
          <w:rFonts w:ascii="Century Gothic" w:hAnsi="Century Gothic" w:cs="Calibri"/>
        </w:rPr>
        <w:t xml:space="preserve">increase </w:t>
      </w:r>
      <w:r w:rsidR="00D37336" w:rsidRPr="009608AB">
        <w:rPr>
          <w:rFonts w:ascii="Century Gothic" w:hAnsi="Century Gothic" w:cs="Calibri"/>
        </w:rPr>
        <w:t>– D.20-15-005</w:t>
      </w:r>
    </w:p>
    <w:p w14:paraId="0DE8B79B" w14:textId="7407E362" w:rsidR="003C6B06" w:rsidRPr="00FA2D90" w:rsidRDefault="003C6B06" w:rsidP="002B2345">
      <w:pPr>
        <w:pStyle w:val="ListParagraph"/>
        <w:numPr>
          <w:ilvl w:val="0"/>
          <w:numId w:val="29"/>
        </w:numPr>
        <w:rPr>
          <w:rFonts w:ascii="Century Gothic" w:hAnsi="Century Gothic" w:cs="Calibri"/>
        </w:rPr>
      </w:pPr>
      <w:r w:rsidRPr="00FA2D90">
        <w:rPr>
          <w:rFonts w:ascii="Century Gothic" w:hAnsi="Century Gothic" w:cs="Calibri"/>
        </w:rPr>
        <w:t>San Francisco General Office Sale</w:t>
      </w:r>
      <w:r w:rsidR="001556DE" w:rsidRPr="00FA2D90">
        <w:rPr>
          <w:rFonts w:ascii="Century Gothic" w:hAnsi="Century Gothic" w:cs="Calibri"/>
        </w:rPr>
        <w:t>, $54.3 million</w:t>
      </w:r>
      <w:r w:rsidRPr="00FA2D90">
        <w:rPr>
          <w:rFonts w:ascii="Century Gothic" w:hAnsi="Century Gothic" w:cs="Calibri"/>
        </w:rPr>
        <w:t xml:space="preserve"> </w:t>
      </w:r>
      <w:r w:rsidR="005F452E" w:rsidRPr="00FA2D90">
        <w:rPr>
          <w:rFonts w:ascii="Century Gothic" w:hAnsi="Century Gothic" w:cs="Calibri"/>
        </w:rPr>
        <w:t>decrease</w:t>
      </w:r>
      <w:r w:rsidR="00C84A8F" w:rsidRPr="00FA2D90">
        <w:rPr>
          <w:rFonts w:ascii="Century Gothic" w:hAnsi="Century Gothic" w:cs="Calibri"/>
        </w:rPr>
        <w:t xml:space="preserve"> related to gain on sale</w:t>
      </w:r>
      <w:r w:rsidR="005F452E" w:rsidRPr="00FA2D90">
        <w:rPr>
          <w:rFonts w:ascii="Century Gothic" w:hAnsi="Century Gothic" w:cs="Calibri"/>
        </w:rPr>
        <w:t xml:space="preserve"> </w:t>
      </w:r>
      <w:r w:rsidRPr="00FA2D90">
        <w:rPr>
          <w:rFonts w:ascii="Century Gothic" w:hAnsi="Century Gothic" w:cs="Calibri"/>
        </w:rPr>
        <w:t xml:space="preserve">– </w:t>
      </w:r>
      <w:r w:rsidR="00D06E35" w:rsidRPr="00FA2D90">
        <w:rPr>
          <w:rFonts w:ascii="Century Gothic" w:hAnsi="Century Gothic" w:cs="Calibri"/>
        </w:rPr>
        <w:t>D.21-08-027</w:t>
      </w:r>
      <w:r w:rsidR="005E5766" w:rsidRPr="00FA2D90">
        <w:rPr>
          <w:rFonts w:ascii="Century Gothic" w:hAnsi="Century Gothic" w:cs="Calibri"/>
        </w:rPr>
        <w:t>, AL 4538-G</w:t>
      </w:r>
    </w:p>
    <w:p w14:paraId="1ADA70E9" w14:textId="34ADB2E3" w:rsidR="00065895" w:rsidRPr="009608AB" w:rsidRDefault="005955F6" w:rsidP="00DC0BC5">
      <w:pPr>
        <w:pStyle w:val="ListParagraph"/>
        <w:numPr>
          <w:ilvl w:val="0"/>
          <w:numId w:val="29"/>
        </w:numPr>
        <w:rPr>
          <w:rFonts w:ascii="Century Gothic" w:hAnsi="Century Gothic" w:cs="Calibri"/>
        </w:rPr>
      </w:pPr>
      <w:r w:rsidRPr="009608AB">
        <w:rPr>
          <w:rFonts w:ascii="Century Gothic" w:hAnsi="Century Gothic" w:cs="Calibri"/>
        </w:rPr>
        <w:t>Wildfire Expense Memorandum Account Proceeding</w:t>
      </w:r>
      <w:r w:rsidR="001554FD">
        <w:rPr>
          <w:rFonts w:ascii="Century Gothic" w:hAnsi="Century Gothic" w:cs="Calibri"/>
        </w:rPr>
        <w:t>, 155.8 million</w:t>
      </w:r>
      <w:r w:rsidR="003455C3">
        <w:rPr>
          <w:rFonts w:ascii="Century Gothic" w:hAnsi="Century Gothic" w:cs="Calibri"/>
        </w:rPr>
        <w:t xml:space="preserve"> increase</w:t>
      </w:r>
      <w:r w:rsidRPr="009608AB">
        <w:rPr>
          <w:rFonts w:ascii="Century Gothic" w:hAnsi="Century Gothic" w:cs="Calibri"/>
        </w:rPr>
        <w:t xml:space="preserve"> – </w:t>
      </w:r>
      <w:r w:rsidR="00970000">
        <w:rPr>
          <w:rFonts w:ascii="Century Gothic" w:hAnsi="Century Gothic" w:cs="Calibri"/>
        </w:rPr>
        <w:br/>
      </w:r>
      <w:r w:rsidRPr="009608AB">
        <w:rPr>
          <w:rFonts w:ascii="Century Gothic" w:hAnsi="Century Gothic" w:cs="Calibri"/>
        </w:rPr>
        <w:t>D.21-10-22</w:t>
      </w:r>
      <w:r w:rsidR="009C3EDF" w:rsidRPr="009608AB">
        <w:rPr>
          <w:rFonts w:ascii="Century Gothic" w:hAnsi="Century Gothic" w:cs="Calibri"/>
        </w:rPr>
        <w:t xml:space="preserve">, </w:t>
      </w:r>
      <w:r w:rsidR="00026CE0" w:rsidRPr="009608AB">
        <w:rPr>
          <w:rFonts w:ascii="Century Gothic" w:hAnsi="Century Gothic" w:cs="Calibri"/>
        </w:rPr>
        <w:t>AL 4529-G/6407-E</w:t>
      </w:r>
    </w:p>
    <w:p w14:paraId="539B1EC8" w14:textId="00AAFB5E" w:rsidR="00BB5C7B" w:rsidRPr="009608AB" w:rsidRDefault="00E521EA" w:rsidP="007B2CE7">
      <w:pPr>
        <w:pStyle w:val="ListParagraph"/>
        <w:numPr>
          <w:ilvl w:val="0"/>
          <w:numId w:val="29"/>
        </w:numPr>
        <w:rPr>
          <w:rFonts w:ascii="Century Gothic" w:hAnsi="Century Gothic" w:cs="Calibri"/>
        </w:rPr>
      </w:pPr>
      <w:r w:rsidRPr="009608AB">
        <w:rPr>
          <w:rFonts w:ascii="Century Gothic" w:hAnsi="Century Gothic" w:cs="Calibri"/>
        </w:rPr>
        <w:t xml:space="preserve">Annual </w:t>
      </w:r>
      <w:bookmarkStart w:id="3" w:name="_Hlk59105142"/>
      <w:r w:rsidRPr="009608AB">
        <w:rPr>
          <w:rFonts w:ascii="Century Gothic" w:hAnsi="Century Gothic" w:cs="Calibri"/>
        </w:rPr>
        <w:t>Regulatory Account Balance Update</w:t>
      </w:r>
      <w:r w:rsidR="000540F9">
        <w:rPr>
          <w:rFonts w:ascii="Century Gothic" w:hAnsi="Century Gothic" w:cs="Calibri"/>
        </w:rPr>
        <w:t>, $186.3 million</w:t>
      </w:r>
      <w:r w:rsidRPr="009608AB">
        <w:rPr>
          <w:rFonts w:ascii="Century Gothic" w:hAnsi="Century Gothic" w:cs="Calibri"/>
        </w:rPr>
        <w:t xml:space="preserve"> </w:t>
      </w:r>
      <w:bookmarkEnd w:id="3"/>
      <w:r w:rsidR="005F452E">
        <w:rPr>
          <w:rFonts w:ascii="Century Gothic" w:hAnsi="Century Gothic" w:cs="Calibri"/>
        </w:rPr>
        <w:t xml:space="preserve">increase </w:t>
      </w:r>
      <w:r w:rsidRPr="009608AB">
        <w:rPr>
          <w:rFonts w:ascii="Century Gothic" w:hAnsi="Century Gothic" w:cs="Calibri"/>
        </w:rPr>
        <w:t xml:space="preserve">– </w:t>
      </w:r>
      <w:r w:rsidR="00F441D0">
        <w:rPr>
          <w:rFonts w:ascii="Century Gothic" w:hAnsi="Century Gothic" w:cs="Calibri"/>
        </w:rPr>
        <w:t>AL</w:t>
      </w:r>
      <w:r w:rsidRPr="009608AB">
        <w:rPr>
          <w:rFonts w:ascii="Century Gothic" w:hAnsi="Century Gothic" w:cs="Calibri"/>
        </w:rPr>
        <w:t xml:space="preserve"> 4</w:t>
      </w:r>
      <w:r w:rsidR="005A63A8" w:rsidRPr="009608AB">
        <w:rPr>
          <w:rFonts w:ascii="Century Gothic" w:hAnsi="Century Gothic" w:cs="Calibri"/>
        </w:rPr>
        <w:t>5</w:t>
      </w:r>
      <w:r w:rsidR="00601CB2">
        <w:rPr>
          <w:rFonts w:ascii="Century Gothic" w:hAnsi="Century Gothic" w:cs="Calibri"/>
        </w:rPr>
        <w:t>43</w:t>
      </w:r>
      <w:r w:rsidRPr="009608AB">
        <w:rPr>
          <w:rFonts w:ascii="Century Gothic" w:hAnsi="Century Gothic" w:cs="Calibri"/>
        </w:rPr>
        <w:t>-G</w:t>
      </w:r>
      <w:r w:rsidRPr="009608AB">
        <w:rPr>
          <w:rStyle w:val="FootnoteReference"/>
          <w:rFonts w:ascii="Century Gothic" w:hAnsi="Century Gothic" w:cs="Calibri"/>
        </w:rPr>
        <w:footnoteReference w:id="4"/>
      </w:r>
      <w:bookmarkEnd w:id="1"/>
      <w:bookmarkEnd w:id="2"/>
    </w:p>
    <w:sectPr w:rsidR="00BB5C7B" w:rsidRPr="009608AB" w:rsidSect="009A6FD6">
      <w:headerReference w:type="default" r:id="rId12"/>
      <w:footerReference w:type="even" r:id="rId13"/>
      <w:footerReference w:type="default" r:id="rId14"/>
      <w:headerReference w:type="first" r:id="rId15"/>
      <w:footerReference w:type="first" r:id="rId16"/>
      <w:pgSz w:w="12240" w:h="15840" w:code="1"/>
      <w:pgMar w:top="720" w:right="720" w:bottom="990" w:left="720" w:header="576" w:footer="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69DC" w14:textId="77777777" w:rsidR="00C137A2" w:rsidRDefault="00C137A2">
      <w:r>
        <w:separator/>
      </w:r>
    </w:p>
    <w:p w14:paraId="237D0992" w14:textId="77777777" w:rsidR="00C137A2" w:rsidRDefault="00C137A2"/>
  </w:endnote>
  <w:endnote w:type="continuationSeparator" w:id="0">
    <w:p w14:paraId="7EA71588" w14:textId="77777777" w:rsidR="00C137A2" w:rsidRDefault="00C137A2">
      <w:r>
        <w:continuationSeparator/>
      </w:r>
    </w:p>
    <w:p w14:paraId="6AF2084D" w14:textId="77777777" w:rsidR="00C137A2" w:rsidRDefault="00C13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857513"/>
      <w:docPartObj>
        <w:docPartGallery w:val="Page Numbers (Bottom of Page)"/>
        <w:docPartUnique/>
      </w:docPartObj>
    </w:sdtPr>
    <w:sdtEndPr>
      <w:rPr>
        <w:rStyle w:val="PageNumber"/>
      </w:rPr>
    </w:sdtEndPr>
    <w:sdtContent>
      <w:p w14:paraId="551117D1" w14:textId="77777777" w:rsidR="00A42FDB" w:rsidRDefault="00A42FDB" w:rsidP="00AA5D1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CB8B6A" w14:textId="77777777" w:rsidR="00A42FDB" w:rsidRDefault="00A42FDB" w:rsidP="00AA5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46355973"/>
      <w:docPartObj>
        <w:docPartGallery w:val="Page Numbers (Bottom of Page)"/>
        <w:docPartUnique/>
      </w:docPartObj>
    </w:sdtPr>
    <w:sdtEndPr>
      <w:rPr>
        <w:noProof/>
      </w:rPr>
    </w:sdtEndPr>
    <w:sdtContent>
      <w:p w14:paraId="6069B504" w14:textId="149FCF73" w:rsidR="00A42FDB" w:rsidRPr="00D31094" w:rsidRDefault="00A42FDB">
        <w:pPr>
          <w:pStyle w:val="Footer"/>
          <w:rPr>
            <w:rFonts w:ascii="Garamond" w:hAnsi="Garamond"/>
          </w:rPr>
        </w:pPr>
        <w:r w:rsidRPr="00D31094">
          <w:rPr>
            <w:rFonts w:ascii="Garamond" w:hAnsi="Garamond"/>
            <w:sz w:val="22"/>
            <w:szCs w:val="22"/>
          </w:rPr>
          <w:t xml:space="preserve">Rate Increase Advisory </w:t>
        </w:r>
        <w:r w:rsidRPr="00D31094">
          <w:rPr>
            <w:rFonts w:ascii="Garamond" w:hAnsi="Garamond"/>
          </w:rPr>
          <w:t xml:space="preserve">| </w:t>
        </w:r>
        <w:r w:rsidRPr="00D31094">
          <w:rPr>
            <w:rFonts w:ascii="Garamond" w:hAnsi="Garamond"/>
          </w:rPr>
          <w:fldChar w:fldCharType="begin"/>
        </w:r>
        <w:r w:rsidRPr="00D31094">
          <w:rPr>
            <w:rFonts w:ascii="Garamond" w:hAnsi="Garamond"/>
          </w:rPr>
          <w:instrText xml:space="preserve"> PAGE   \* MERGEFORMAT </w:instrText>
        </w:r>
        <w:r w:rsidRPr="00D31094">
          <w:rPr>
            <w:rFonts w:ascii="Garamond" w:hAnsi="Garamond"/>
          </w:rPr>
          <w:fldChar w:fldCharType="separate"/>
        </w:r>
        <w:r w:rsidRPr="00D31094">
          <w:rPr>
            <w:rFonts w:ascii="Garamond" w:hAnsi="Garamond"/>
            <w:noProof/>
          </w:rPr>
          <w:t>2</w:t>
        </w:r>
        <w:r w:rsidRPr="00D31094">
          <w:rPr>
            <w:rFonts w:ascii="Garamond" w:hAnsi="Garamond"/>
            <w:noProof/>
          </w:rPr>
          <w:fldChar w:fldCharType="end"/>
        </w:r>
      </w:p>
    </w:sdtContent>
  </w:sdt>
  <w:p w14:paraId="4CD8D1CB" w14:textId="481D7783" w:rsidR="00A42FDB" w:rsidRDefault="00A42FDB" w:rsidP="00DE00A6">
    <w:pPr>
      <w:pStyle w:val="Footer"/>
      <w:tabs>
        <w:tab w:val="left" w:pos="6135"/>
      </w:tabs>
      <w:jc w:val="lef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64868541"/>
      <w:docPartObj>
        <w:docPartGallery w:val="Page Numbers (Bottom of Page)"/>
        <w:docPartUnique/>
      </w:docPartObj>
    </w:sdtPr>
    <w:sdtEndPr/>
    <w:sdtContent>
      <w:p w14:paraId="3278C832" w14:textId="126BF41C" w:rsidR="00A42FDB" w:rsidRPr="00D31094" w:rsidRDefault="00A42FDB">
        <w:pPr>
          <w:pStyle w:val="Footer"/>
          <w:rPr>
            <w:rFonts w:ascii="Garamond" w:hAnsi="Garamond"/>
          </w:rPr>
        </w:pPr>
        <w:r w:rsidRPr="00D31094">
          <w:rPr>
            <w:rFonts w:ascii="Garamond" w:hAnsi="Garamond"/>
            <w:sz w:val="22"/>
            <w:szCs w:val="22"/>
          </w:rPr>
          <w:t>Rate Increase Advisory</w:t>
        </w:r>
        <w:r w:rsidRPr="00D31094">
          <w:rPr>
            <w:rFonts w:ascii="Garamond" w:hAnsi="Garamond"/>
          </w:rPr>
          <w:t xml:space="preserve"> | </w:t>
        </w:r>
        <w:r w:rsidRPr="00D31094">
          <w:rPr>
            <w:rFonts w:ascii="Garamond" w:hAnsi="Garamond"/>
          </w:rPr>
          <w:fldChar w:fldCharType="begin"/>
        </w:r>
        <w:r w:rsidRPr="00D31094">
          <w:rPr>
            <w:rFonts w:ascii="Garamond" w:hAnsi="Garamond"/>
          </w:rPr>
          <w:instrText xml:space="preserve"> PAGE   \* MERGEFORMAT </w:instrText>
        </w:r>
        <w:r w:rsidRPr="00D31094">
          <w:rPr>
            <w:rFonts w:ascii="Garamond" w:hAnsi="Garamond"/>
          </w:rPr>
          <w:fldChar w:fldCharType="separate"/>
        </w:r>
        <w:r w:rsidRPr="00D31094">
          <w:rPr>
            <w:rFonts w:ascii="Garamond" w:hAnsi="Garamond"/>
            <w:noProof/>
          </w:rPr>
          <w:t>2</w:t>
        </w:r>
        <w:r w:rsidRPr="00D31094">
          <w:rPr>
            <w:rFonts w:ascii="Garamond" w:hAnsi="Garamond"/>
            <w:noProof/>
          </w:rPr>
          <w:fldChar w:fldCharType="end"/>
        </w:r>
        <w:r w:rsidRPr="00D31094">
          <w:rPr>
            <w:rFonts w:ascii="Garamond" w:hAnsi="Garamond"/>
          </w:rPr>
          <w:t xml:space="preserve"> </w:t>
        </w:r>
      </w:p>
    </w:sdtContent>
  </w:sdt>
  <w:p w14:paraId="3E9F6AC9" w14:textId="77777777" w:rsidR="00A42FDB" w:rsidRDefault="00A4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BA4B" w14:textId="77777777" w:rsidR="00C137A2" w:rsidRDefault="00C137A2">
      <w:r>
        <w:separator/>
      </w:r>
    </w:p>
    <w:p w14:paraId="261A98AD" w14:textId="77777777" w:rsidR="00C137A2" w:rsidRDefault="00C137A2"/>
  </w:footnote>
  <w:footnote w:type="continuationSeparator" w:id="0">
    <w:p w14:paraId="2EC5F718" w14:textId="77777777" w:rsidR="00C137A2" w:rsidRDefault="00C137A2">
      <w:r>
        <w:continuationSeparator/>
      </w:r>
    </w:p>
    <w:p w14:paraId="7BA51C9F" w14:textId="77777777" w:rsidR="00C137A2" w:rsidRDefault="00C137A2"/>
  </w:footnote>
  <w:footnote w:id="1">
    <w:p w14:paraId="49EE1B87" w14:textId="77777777" w:rsidR="002F7997" w:rsidRPr="00C9733D" w:rsidRDefault="002F7997" w:rsidP="002F7997">
      <w:pPr>
        <w:pStyle w:val="FootnoteText"/>
        <w:ind w:left="540" w:hanging="180"/>
        <w:rPr>
          <w:rFonts w:ascii="Garamond" w:hAnsi="Garamond"/>
        </w:rPr>
      </w:pPr>
      <w:r>
        <w:rPr>
          <w:rStyle w:val="FootnoteReference"/>
        </w:rPr>
        <w:footnoteRef/>
      </w:r>
      <w:r>
        <w:t xml:space="preserve"> </w:t>
      </w:r>
      <w:r w:rsidRPr="00C9733D">
        <w:rPr>
          <w:rFonts w:ascii="Garamond" w:hAnsi="Garamond"/>
        </w:rPr>
        <w:t xml:space="preserve">General volatility in the natural gas market resulting in seasonal high prices is caused by expanding global demand with supply being </w:t>
      </w:r>
      <w:r>
        <w:rPr>
          <w:rFonts w:ascii="Garamond" w:hAnsi="Garamond"/>
        </w:rPr>
        <w:t xml:space="preserve">           </w:t>
      </w:r>
      <w:r w:rsidRPr="00C9733D">
        <w:rPr>
          <w:rFonts w:ascii="Garamond" w:hAnsi="Garamond"/>
        </w:rPr>
        <w:t>unable to keep up with the demand.</w:t>
      </w:r>
    </w:p>
  </w:footnote>
  <w:footnote w:id="2">
    <w:p w14:paraId="02B1DFDC" w14:textId="7D125E52" w:rsidR="006B6F73" w:rsidRPr="00E46FDA" w:rsidRDefault="006B6F73" w:rsidP="006B6F73">
      <w:pPr>
        <w:pStyle w:val="FootnoteText"/>
        <w:rPr>
          <w:rFonts w:ascii="Garamond" w:hAnsi="Garamond"/>
        </w:rPr>
      </w:pPr>
      <w:r w:rsidRPr="00E46FDA">
        <w:rPr>
          <w:rStyle w:val="FootnoteReference"/>
          <w:rFonts w:ascii="Garamond" w:hAnsi="Garamond"/>
        </w:rPr>
        <w:footnoteRef/>
      </w:r>
      <w:r w:rsidRPr="00E46FDA">
        <w:rPr>
          <w:rFonts w:ascii="Garamond" w:hAnsi="Garamond"/>
        </w:rPr>
        <w:t xml:space="preserve"> The bill impacts include updated Public Purpose Program (PPP) surcharge rates: </w:t>
      </w:r>
      <w:r w:rsidR="00E56AAD">
        <w:rPr>
          <w:rFonts w:ascii="Garamond" w:hAnsi="Garamond"/>
        </w:rPr>
        <w:t>PG&amp;E AL 4519-G</w:t>
      </w:r>
      <w:r w:rsidRPr="00E46FDA">
        <w:rPr>
          <w:rFonts w:ascii="Garamond" w:hAnsi="Garamond"/>
        </w:rPr>
        <w:t xml:space="preserve"> </w:t>
      </w:r>
    </w:p>
  </w:footnote>
  <w:footnote w:id="3">
    <w:p w14:paraId="024F5C81" w14:textId="2A97FE00" w:rsidR="009D2C0A" w:rsidRPr="009D2C0A" w:rsidRDefault="009D2C0A">
      <w:pPr>
        <w:pStyle w:val="FootnoteText"/>
        <w:rPr>
          <w:rFonts w:ascii="Garamond" w:hAnsi="Garamond"/>
        </w:rPr>
      </w:pPr>
      <w:r w:rsidRPr="009D2C0A">
        <w:rPr>
          <w:rStyle w:val="FootnoteReference"/>
          <w:rFonts w:ascii="Garamond" w:hAnsi="Garamond"/>
        </w:rPr>
        <w:footnoteRef/>
      </w:r>
      <w:r w:rsidRPr="009D2C0A">
        <w:rPr>
          <w:rFonts w:ascii="Garamond" w:hAnsi="Garamond"/>
        </w:rPr>
        <w:t xml:space="preserve"> Average Monthly Residential Gas Bill $ (32 therms)</w:t>
      </w:r>
    </w:p>
  </w:footnote>
  <w:footnote w:id="4">
    <w:p w14:paraId="1BB0D9C9" w14:textId="1FDD8FEA" w:rsidR="00E521EA" w:rsidRPr="009608AB" w:rsidRDefault="00E521EA" w:rsidP="00E8577D">
      <w:pPr>
        <w:pStyle w:val="FootnoteText"/>
        <w:ind w:left="360" w:firstLine="0"/>
        <w:rPr>
          <w:rFonts w:ascii="Garamond" w:hAnsi="Garamond"/>
        </w:rPr>
      </w:pPr>
      <w:r w:rsidRPr="00E32F95">
        <w:rPr>
          <w:rStyle w:val="FootnoteReference"/>
          <w:rFonts w:ascii="Garamond" w:hAnsi="Garamond"/>
          <w:sz w:val="17"/>
          <w:szCs w:val="17"/>
        </w:rPr>
        <w:footnoteRef/>
      </w:r>
      <w:r w:rsidRPr="00E32F95">
        <w:rPr>
          <w:rFonts w:ascii="Garamond" w:hAnsi="Garamond"/>
          <w:sz w:val="17"/>
          <w:szCs w:val="17"/>
        </w:rPr>
        <w:t xml:space="preserve"> </w:t>
      </w:r>
      <w:bookmarkStart w:id="4" w:name="_Hlk59106073"/>
      <w:r w:rsidRPr="009608AB">
        <w:rPr>
          <w:rFonts w:ascii="Garamond" w:hAnsi="Garamond"/>
        </w:rPr>
        <w:t xml:space="preserve">PG&amp;E’s </w:t>
      </w:r>
      <w:bookmarkEnd w:id="4"/>
      <w:r w:rsidRPr="009608AB">
        <w:rPr>
          <w:rFonts w:ascii="Garamond" w:hAnsi="Garamond"/>
        </w:rPr>
        <w:t xml:space="preserve">regulatory account balance updates include revenue requirement adjustments of year-end regulatory account balances for core and non-core customers: Core Fixed Cost Account (CFCA), Noncore Customer Class Charge Account (NCA), Assembly Bill 32 Cost of Implementation Fee (AB32), Core Brokerage Fee Balancing Account (CBFBA), Hazardous Substance Mechanism (HSM), Balancing Charge Account (BCA), Customer Energy Efficiency Incentive Account (CEEIA), California Solar Initiative Thermal Program Memorandum Account (CSITPMA), Adjustment Mechanism for Costs Determined in Other Proceedings (AMCDOP), Non-Tariffed Products and Services Balancing Account (NTBA-G), Gas Pipeline Expense and Capital Balancing Account (GPECBA), New Environmental Regulations Balancing Account (NERBA), Pension Contribution Balancing Account (PCBA), Gas Transmission &amp; Storage Revenue Sharing Mechanism (GTSRSM), </w:t>
      </w:r>
      <w:r w:rsidR="00986242" w:rsidRPr="009608AB">
        <w:rPr>
          <w:rFonts w:ascii="Garamond" w:hAnsi="Garamond"/>
        </w:rPr>
        <w:t xml:space="preserve">Risk Transfer Balancing Account (RTBA), </w:t>
      </w:r>
      <w:r w:rsidR="00567FD2" w:rsidRPr="009608AB">
        <w:rPr>
          <w:rFonts w:ascii="Garamond" w:hAnsi="Garamond"/>
        </w:rPr>
        <w:t xml:space="preserve">Residential Uncollectible Balancing Account (RUBA), </w:t>
      </w:r>
      <w:r w:rsidRPr="009608AB">
        <w:rPr>
          <w:rFonts w:ascii="Garamond" w:hAnsi="Garamond"/>
        </w:rPr>
        <w:t xml:space="preserve">and Mobile Home Park Balancing Account – Gas (MHPBA). </w:t>
      </w:r>
    </w:p>
    <w:p w14:paraId="6A9FA1F3" w14:textId="77777777" w:rsidR="00E521EA" w:rsidRPr="009608AB" w:rsidRDefault="00E521EA" w:rsidP="00E521EA">
      <w:pPr>
        <w:pStyle w:val="FootnoteText"/>
        <w:rPr>
          <w:rFonts w:ascii="Garamond" w:hAnsi="Garamond"/>
        </w:rPr>
      </w:pPr>
    </w:p>
    <w:p w14:paraId="0914CE62" w14:textId="77777777" w:rsidR="00E521EA" w:rsidRDefault="00E521EA" w:rsidP="00E521E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151"/>
      <w:gridCol w:w="2691"/>
    </w:tblGrid>
    <w:tr w:rsidR="00A42FDB" w14:paraId="2AB1ABC3" w14:textId="77777777" w:rsidTr="00D6482E">
      <w:trPr>
        <w:trHeight w:val="1680"/>
      </w:trPr>
      <w:tc>
        <w:tcPr>
          <w:tcW w:w="3411" w:type="dxa"/>
          <w:shd w:val="clear" w:color="auto" w:fill="002060"/>
          <w:vAlign w:val="center"/>
        </w:tcPr>
        <w:p w14:paraId="713E3383" w14:textId="25C18433" w:rsidR="00A42FDB" w:rsidRPr="002C361D" w:rsidRDefault="00A42FDB" w:rsidP="002C361D">
          <w:pPr>
            <w:pStyle w:val="Header"/>
            <w:rPr>
              <w:rFonts w:ascii="Garamond" w:hAnsi="Garamond"/>
              <w:b/>
              <w:bCs/>
              <w:color w:val="FFFFFF" w:themeColor="background1"/>
              <w:sz w:val="36"/>
              <w:szCs w:val="36"/>
            </w:rPr>
          </w:pPr>
          <w:r>
            <w:rPr>
              <w:rFonts w:ascii="Garamond" w:hAnsi="Garamond"/>
              <w:b/>
              <w:bCs/>
              <w:color w:val="FFFFFF" w:themeColor="background1"/>
              <w:sz w:val="36"/>
              <w:szCs w:val="36"/>
            </w:rPr>
            <w:t xml:space="preserve">        </w:t>
          </w:r>
          <w:r w:rsidR="00482A8E">
            <w:rPr>
              <w:rFonts w:ascii="Garamond" w:hAnsi="Garamond"/>
              <w:b/>
              <w:bCs/>
              <w:color w:val="FFFFFF" w:themeColor="background1"/>
              <w:sz w:val="36"/>
              <w:szCs w:val="36"/>
            </w:rPr>
            <w:t>January 2022</w:t>
          </w:r>
        </w:p>
      </w:tc>
      <w:tc>
        <w:tcPr>
          <w:tcW w:w="6151" w:type="dxa"/>
          <w:shd w:val="clear" w:color="auto" w:fill="002060"/>
          <w:vAlign w:val="center"/>
        </w:tcPr>
        <w:p w14:paraId="7A4B29B0" w14:textId="77777777" w:rsidR="00A42FDB" w:rsidRPr="002C361D" w:rsidRDefault="00A42FDB" w:rsidP="002C361D">
          <w:pPr>
            <w:pStyle w:val="Header"/>
            <w:jc w:val="center"/>
            <w:rPr>
              <w:rFonts w:ascii="Garamond" w:hAnsi="Garamond"/>
              <w:b/>
              <w:bCs/>
              <w:color w:val="FFFFFF" w:themeColor="background1"/>
              <w:sz w:val="40"/>
              <w:szCs w:val="40"/>
            </w:rPr>
          </w:pPr>
          <w:r w:rsidRPr="002C361D">
            <w:rPr>
              <w:rFonts w:ascii="Garamond" w:hAnsi="Garamond"/>
              <w:b/>
              <w:bCs/>
              <w:color w:val="FFFFFF" w:themeColor="background1"/>
              <w:sz w:val="40"/>
              <w:szCs w:val="40"/>
            </w:rPr>
            <w:t>ENERGY DIVISION</w:t>
          </w:r>
        </w:p>
        <w:p w14:paraId="308B43F1" w14:textId="77777777" w:rsidR="00A42FDB" w:rsidRPr="002C361D" w:rsidRDefault="00A42FDB" w:rsidP="002C361D">
          <w:pPr>
            <w:pStyle w:val="Header"/>
            <w:jc w:val="center"/>
            <w:rPr>
              <w:rFonts w:ascii="Garamond" w:hAnsi="Garamond"/>
              <w:b/>
              <w:bCs/>
              <w:color w:val="FFFFFF" w:themeColor="background1"/>
            </w:rPr>
          </w:pPr>
          <w:r w:rsidRPr="002C361D">
            <w:rPr>
              <w:rFonts w:ascii="Garamond" w:hAnsi="Garamond"/>
              <w:b/>
              <w:bCs/>
              <w:color w:val="FFFFFF" w:themeColor="background1"/>
              <w:sz w:val="40"/>
              <w:szCs w:val="40"/>
            </w:rPr>
            <w:t>RATE CHANGE ADVISORY</w:t>
          </w:r>
        </w:p>
      </w:tc>
      <w:tc>
        <w:tcPr>
          <w:tcW w:w="2691" w:type="dxa"/>
          <w:shd w:val="clear" w:color="auto" w:fill="002060"/>
        </w:tcPr>
        <w:p w14:paraId="69BA49E4" w14:textId="3DACE53F" w:rsidR="00A42FDB" w:rsidRPr="005D2EAB" w:rsidRDefault="006718D6" w:rsidP="002C361D">
          <w:pPr>
            <w:pStyle w:val="Header"/>
            <w:rPr>
              <w:rFonts w:ascii="Garamond" w:hAnsi="Garamond"/>
            </w:rPr>
          </w:pPr>
          <w:r>
            <w:rPr>
              <w:noProof/>
            </w:rPr>
            <w:drawing>
              <wp:anchor distT="0" distB="0" distL="114300" distR="114300" simplePos="0" relativeHeight="251658240" behindDoc="0" locked="0" layoutInCell="1" allowOverlap="1" wp14:anchorId="13084FF1" wp14:editId="03A02A95">
                <wp:simplePos x="0" y="0"/>
                <wp:positionH relativeFrom="column">
                  <wp:posOffset>332740</wp:posOffset>
                </wp:positionH>
                <wp:positionV relativeFrom="paragraph">
                  <wp:posOffset>148590</wp:posOffset>
                </wp:positionV>
                <wp:extent cx="715645" cy="758190"/>
                <wp:effectExtent l="0" t="0" r="8255" b="381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5645" cy="758190"/>
                        </a:xfrm>
                        <a:prstGeom prst="rect">
                          <a:avLst/>
                        </a:prstGeom>
                      </pic:spPr>
                    </pic:pic>
                  </a:graphicData>
                </a:graphic>
                <wp14:sizeRelH relativeFrom="margin">
                  <wp14:pctWidth>0</wp14:pctWidth>
                </wp14:sizeRelH>
                <wp14:sizeRelV relativeFrom="margin">
                  <wp14:pctHeight>0</wp14:pctHeight>
                </wp14:sizeRelV>
              </wp:anchor>
            </w:drawing>
          </w:r>
        </w:p>
      </w:tc>
    </w:tr>
  </w:tbl>
  <w:p w14:paraId="1390C123" w14:textId="77777777" w:rsidR="00A42FDB" w:rsidRPr="005179CC" w:rsidRDefault="00A42FDB" w:rsidP="005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151"/>
      <w:gridCol w:w="2691"/>
    </w:tblGrid>
    <w:tr w:rsidR="00A42FDB" w14:paraId="19F47A57" w14:textId="77777777" w:rsidTr="002C361D">
      <w:trPr>
        <w:trHeight w:val="1680"/>
      </w:trPr>
      <w:tc>
        <w:tcPr>
          <w:tcW w:w="3411" w:type="dxa"/>
          <w:shd w:val="clear" w:color="auto" w:fill="002060"/>
          <w:vAlign w:val="center"/>
        </w:tcPr>
        <w:p w14:paraId="4EACFEB4" w14:textId="3C612ACF" w:rsidR="00A42FDB" w:rsidRPr="002C361D" w:rsidRDefault="00A42FDB">
          <w:pPr>
            <w:pStyle w:val="Header"/>
            <w:rPr>
              <w:rFonts w:ascii="Garamond" w:hAnsi="Garamond"/>
              <w:b/>
              <w:bCs/>
              <w:color w:val="FFFFFF" w:themeColor="background1"/>
              <w:sz w:val="36"/>
              <w:szCs w:val="36"/>
            </w:rPr>
          </w:pPr>
          <w:r>
            <w:rPr>
              <w:rFonts w:ascii="Garamond" w:hAnsi="Garamond"/>
              <w:b/>
              <w:bCs/>
              <w:color w:val="FFFFFF" w:themeColor="background1"/>
              <w:sz w:val="36"/>
              <w:szCs w:val="36"/>
            </w:rPr>
            <w:t xml:space="preserve">       </w:t>
          </w:r>
          <w:r w:rsidR="00436886">
            <w:rPr>
              <w:rFonts w:ascii="Garamond" w:hAnsi="Garamond"/>
              <w:b/>
              <w:bCs/>
              <w:color w:val="FFFFFF" w:themeColor="background1"/>
              <w:sz w:val="36"/>
              <w:szCs w:val="36"/>
            </w:rPr>
            <w:t>January</w:t>
          </w:r>
          <w:r w:rsidRPr="002C361D">
            <w:rPr>
              <w:rFonts w:ascii="Garamond" w:hAnsi="Garamond"/>
              <w:b/>
              <w:bCs/>
              <w:color w:val="FFFFFF" w:themeColor="background1"/>
              <w:sz w:val="36"/>
              <w:szCs w:val="36"/>
            </w:rPr>
            <w:t xml:space="preserve"> 202</w:t>
          </w:r>
          <w:r w:rsidR="008251B2">
            <w:rPr>
              <w:rFonts w:ascii="Garamond" w:hAnsi="Garamond"/>
              <w:b/>
              <w:bCs/>
              <w:color w:val="FFFFFF" w:themeColor="background1"/>
              <w:sz w:val="36"/>
              <w:szCs w:val="36"/>
            </w:rPr>
            <w:t>2</w:t>
          </w:r>
        </w:p>
      </w:tc>
      <w:tc>
        <w:tcPr>
          <w:tcW w:w="6151" w:type="dxa"/>
          <w:shd w:val="clear" w:color="auto" w:fill="002060"/>
          <w:vAlign w:val="center"/>
        </w:tcPr>
        <w:p w14:paraId="15EECC25" w14:textId="77777777" w:rsidR="00A42FDB" w:rsidRPr="002C361D" w:rsidRDefault="00A42FDB" w:rsidP="005D2EAB">
          <w:pPr>
            <w:pStyle w:val="Header"/>
            <w:jc w:val="center"/>
            <w:rPr>
              <w:rFonts w:ascii="Garamond" w:hAnsi="Garamond"/>
              <w:b/>
              <w:bCs/>
              <w:color w:val="FFFFFF" w:themeColor="background1"/>
              <w:sz w:val="40"/>
              <w:szCs w:val="40"/>
            </w:rPr>
          </w:pPr>
          <w:r w:rsidRPr="002C361D">
            <w:rPr>
              <w:rFonts w:ascii="Garamond" w:hAnsi="Garamond"/>
              <w:b/>
              <w:bCs/>
              <w:color w:val="FFFFFF" w:themeColor="background1"/>
              <w:sz w:val="40"/>
              <w:szCs w:val="40"/>
            </w:rPr>
            <w:t>ENERGY DIVISION</w:t>
          </w:r>
        </w:p>
        <w:p w14:paraId="5DB415B5" w14:textId="262DC0D8" w:rsidR="00A42FDB" w:rsidRPr="002C361D" w:rsidRDefault="00A42FDB" w:rsidP="005D2EAB">
          <w:pPr>
            <w:pStyle w:val="Header"/>
            <w:jc w:val="center"/>
            <w:rPr>
              <w:rFonts w:ascii="Garamond" w:hAnsi="Garamond"/>
              <w:b/>
              <w:bCs/>
              <w:color w:val="FFFFFF" w:themeColor="background1"/>
            </w:rPr>
          </w:pPr>
          <w:r w:rsidRPr="002C361D">
            <w:rPr>
              <w:rFonts w:ascii="Garamond" w:hAnsi="Garamond"/>
              <w:b/>
              <w:bCs/>
              <w:color w:val="FFFFFF" w:themeColor="background1"/>
              <w:sz w:val="40"/>
              <w:szCs w:val="40"/>
            </w:rPr>
            <w:t>RATE CHANGE ADVISORY</w:t>
          </w:r>
        </w:p>
      </w:tc>
      <w:tc>
        <w:tcPr>
          <w:tcW w:w="2691" w:type="dxa"/>
          <w:shd w:val="clear" w:color="auto" w:fill="002060"/>
        </w:tcPr>
        <w:p w14:paraId="60B1A42F" w14:textId="3A2B95F9" w:rsidR="00A42FDB" w:rsidRPr="005D2EAB" w:rsidRDefault="006718D6">
          <w:pPr>
            <w:pStyle w:val="Header"/>
            <w:rPr>
              <w:rFonts w:ascii="Garamond" w:hAnsi="Garamond"/>
            </w:rPr>
          </w:pPr>
          <w:r>
            <w:rPr>
              <w:noProof/>
            </w:rPr>
            <w:drawing>
              <wp:anchor distT="0" distB="0" distL="114300" distR="114300" simplePos="0" relativeHeight="251659264" behindDoc="0" locked="0" layoutInCell="1" allowOverlap="1" wp14:anchorId="2371FD6C" wp14:editId="7DA60213">
                <wp:simplePos x="0" y="0"/>
                <wp:positionH relativeFrom="column">
                  <wp:posOffset>307975</wp:posOffset>
                </wp:positionH>
                <wp:positionV relativeFrom="paragraph">
                  <wp:posOffset>100965</wp:posOffset>
                </wp:positionV>
                <wp:extent cx="744855" cy="809625"/>
                <wp:effectExtent l="0" t="0" r="0" b="95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4855" cy="809625"/>
                        </a:xfrm>
                        <a:prstGeom prst="rect">
                          <a:avLst/>
                        </a:prstGeom>
                      </pic:spPr>
                    </pic:pic>
                  </a:graphicData>
                </a:graphic>
                <wp14:sizeRelH relativeFrom="margin">
                  <wp14:pctWidth>0</wp14:pctWidth>
                </wp14:sizeRelH>
                <wp14:sizeRelV relativeFrom="margin">
                  <wp14:pctHeight>0</wp14:pctHeight>
                </wp14:sizeRelV>
              </wp:anchor>
            </w:drawing>
          </w:r>
        </w:p>
      </w:tc>
    </w:tr>
  </w:tbl>
  <w:p w14:paraId="47D8BA4A" w14:textId="6B7109E4" w:rsidR="00A42FDB" w:rsidRDefault="00A4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pt;height:11.5pt" o:bullet="t">
        <v:imagedata r:id="rId1" o:title="msoFF2D"/>
      </v:shape>
    </w:pict>
  </w:numPicBullet>
  <w:abstractNum w:abstractNumId="0" w15:restartNumberingAfterBreak="0">
    <w:nsid w:val="00D35FF8"/>
    <w:multiLevelType w:val="hybridMultilevel"/>
    <w:tmpl w:val="D0025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664C1"/>
    <w:multiLevelType w:val="hybridMultilevel"/>
    <w:tmpl w:val="179E5F0C"/>
    <w:lvl w:ilvl="0" w:tplc="04090007">
      <w:start w:val="1"/>
      <w:numFmt w:val="bullet"/>
      <w:lvlText w:val=""/>
      <w:lvlPicBulletId w:val="0"/>
      <w:lvlJc w:val="left"/>
      <w:pPr>
        <w:ind w:left="360" w:hanging="360"/>
      </w:pPr>
      <w:rPr>
        <w:rFonts w:ascii="Symbol" w:hAnsi="Symbol"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B3C69"/>
    <w:multiLevelType w:val="hybridMultilevel"/>
    <w:tmpl w:val="6BDE9996"/>
    <w:lvl w:ilvl="0" w:tplc="CED44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13388"/>
    <w:multiLevelType w:val="hybridMultilevel"/>
    <w:tmpl w:val="C8E0C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077C44DE"/>
    <w:multiLevelType w:val="hybridMultilevel"/>
    <w:tmpl w:val="6F86094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414B0"/>
    <w:multiLevelType w:val="hybridMultilevel"/>
    <w:tmpl w:val="C97C144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0B5345"/>
    <w:multiLevelType w:val="hybridMultilevel"/>
    <w:tmpl w:val="A95CD20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A24238"/>
    <w:multiLevelType w:val="hybridMultilevel"/>
    <w:tmpl w:val="4C68B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5849EC"/>
    <w:multiLevelType w:val="hybridMultilevel"/>
    <w:tmpl w:val="43964AE8"/>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203442"/>
    <w:multiLevelType w:val="hybridMultilevel"/>
    <w:tmpl w:val="27E613E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735AE"/>
    <w:multiLevelType w:val="hybridMultilevel"/>
    <w:tmpl w:val="00DAE9A8"/>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687537"/>
    <w:multiLevelType w:val="hybridMultilevel"/>
    <w:tmpl w:val="6BDE9996"/>
    <w:lvl w:ilvl="0" w:tplc="CED44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DC403C"/>
    <w:multiLevelType w:val="hybridMultilevel"/>
    <w:tmpl w:val="BF9C5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A4B94"/>
    <w:multiLevelType w:val="hybridMultilevel"/>
    <w:tmpl w:val="41583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7E1688"/>
    <w:multiLevelType w:val="hybridMultilevel"/>
    <w:tmpl w:val="A8F20050"/>
    <w:lvl w:ilvl="0" w:tplc="6E9603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132E7"/>
    <w:multiLevelType w:val="hybridMultilevel"/>
    <w:tmpl w:val="D3F26D50"/>
    <w:lvl w:ilvl="0" w:tplc="0AFE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E32FAE"/>
    <w:multiLevelType w:val="hybridMultilevel"/>
    <w:tmpl w:val="1D2E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279C9"/>
    <w:multiLevelType w:val="hybridMultilevel"/>
    <w:tmpl w:val="6B28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400C4"/>
    <w:multiLevelType w:val="hybridMultilevel"/>
    <w:tmpl w:val="55E0D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611570"/>
    <w:multiLevelType w:val="hybridMultilevel"/>
    <w:tmpl w:val="4FE8E416"/>
    <w:lvl w:ilvl="0" w:tplc="04090007">
      <w:start w:val="1"/>
      <w:numFmt w:val="bullet"/>
      <w:lvlText w:val=""/>
      <w:lvlPicBulletId w:val="0"/>
      <w:lvlJc w:val="left"/>
      <w:pPr>
        <w:ind w:left="360" w:hanging="360"/>
      </w:pPr>
      <w:rPr>
        <w:rFonts w:ascii="Symbol" w:hAnsi="Symbol"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AB3029"/>
    <w:multiLevelType w:val="hybridMultilevel"/>
    <w:tmpl w:val="015CA4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AE492E"/>
    <w:multiLevelType w:val="hybridMultilevel"/>
    <w:tmpl w:val="A2B80054"/>
    <w:lvl w:ilvl="0" w:tplc="9AB0E37E">
      <w:start w:val="1"/>
      <w:numFmt w:val="decimal"/>
      <w:lvlText w:val="%1."/>
      <w:lvlJc w:val="left"/>
      <w:pPr>
        <w:ind w:left="360" w:hanging="360"/>
      </w:pPr>
      <w:rPr>
        <w:rFonts w:hint="default"/>
        <w:b/>
      </w:rPr>
    </w:lvl>
    <w:lvl w:ilvl="1" w:tplc="04090007">
      <w:start w:val="1"/>
      <w:numFmt w:val="bullet"/>
      <w:lvlText w:val=""/>
      <w:lvlPicBulletId w:val="0"/>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3252F7"/>
    <w:multiLevelType w:val="hybridMultilevel"/>
    <w:tmpl w:val="1C8A2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81F61"/>
    <w:multiLevelType w:val="hybridMultilevel"/>
    <w:tmpl w:val="0A62BEEA"/>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BD1399"/>
    <w:multiLevelType w:val="hybridMultilevel"/>
    <w:tmpl w:val="1F8202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361100F"/>
    <w:multiLevelType w:val="hybridMultilevel"/>
    <w:tmpl w:val="7BCA73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E1AFE"/>
    <w:multiLevelType w:val="hybridMultilevel"/>
    <w:tmpl w:val="C6CAD64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7E6D6DD2"/>
    <w:multiLevelType w:val="hybridMultilevel"/>
    <w:tmpl w:val="C4CEAFAA"/>
    <w:lvl w:ilvl="0" w:tplc="BFA47E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B64AD9"/>
    <w:multiLevelType w:val="hybridMultilevel"/>
    <w:tmpl w:val="4B7681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10"/>
  </w:num>
  <w:num w:numId="4">
    <w:abstractNumId w:val="28"/>
  </w:num>
  <w:num w:numId="5">
    <w:abstractNumId w:val="2"/>
  </w:num>
  <w:num w:numId="6">
    <w:abstractNumId w:val="25"/>
  </w:num>
  <w:num w:numId="7">
    <w:abstractNumId w:val="5"/>
  </w:num>
  <w:num w:numId="8">
    <w:abstractNumId w:val="8"/>
  </w:num>
  <w:num w:numId="9">
    <w:abstractNumId w:val="6"/>
  </w:num>
  <w:num w:numId="10">
    <w:abstractNumId w:val="21"/>
  </w:num>
  <w:num w:numId="11">
    <w:abstractNumId w:val="11"/>
  </w:num>
  <w:num w:numId="12">
    <w:abstractNumId w:val="23"/>
  </w:num>
  <w:num w:numId="13">
    <w:abstractNumId w:val="4"/>
  </w:num>
  <w:num w:numId="14">
    <w:abstractNumId w:val="19"/>
  </w:num>
  <w:num w:numId="15">
    <w:abstractNumId w:val="1"/>
  </w:num>
  <w:num w:numId="16">
    <w:abstractNumId w:val="9"/>
  </w:num>
  <w:num w:numId="17">
    <w:abstractNumId w:val="27"/>
  </w:num>
  <w:num w:numId="18">
    <w:abstractNumId w:val="18"/>
  </w:num>
  <w:num w:numId="19">
    <w:abstractNumId w:val="17"/>
  </w:num>
  <w:num w:numId="20">
    <w:abstractNumId w:val="26"/>
  </w:num>
  <w:num w:numId="21">
    <w:abstractNumId w:val="3"/>
  </w:num>
  <w:num w:numId="22">
    <w:abstractNumId w:val="12"/>
  </w:num>
  <w:num w:numId="23">
    <w:abstractNumId w:val="24"/>
  </w:num>
  <w:num w:numId="24">
    <w:abstractNumId w:val="22"/>
  </w:num>
  <w:num w:numId="25">
    <w:abstractNumId w:val="20"/>
  </w:num>
  <w:num w:numId="26">
    <w:abstractNumId w:val="16"/>
  </w:num>
  <w:num w:numId="27">
    <w:abstractNumId w:val="14"/>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05"/>
    <w:rsid w:val="00004E2F"/>
    <w:rsid w:val="00005B11"/>
    <w:rsid w:val="000069E1"/>
    <w:rsid w:val="000115F0"/>
    <w:rsid w:val="00013DC1"/>
    <w:rsid w:val="00013E16"/>
    <w:rsid w:val="00021890"/>
    <w:rsid w:val="00023054"/>
    <w:rsid w:val="00024CF2"/>
    <w:rsid w:val="00025EEC"/>
    <w:rsid w:val="00026B38"/>
    <w:rsid w:val="00026CE0"/>
    <w:rsid w:val="00027DF1"/>
    <w:rsid w:val="0003222D"/>
    <w:rsid w:val="00034FD9"/>
    <w:rsid w:val="0004125F"/>
    <w:rsid w:val="00041B9D"/>
    <w:rsid w:val="00045CDD"/>
    <w:rsid w:val="000540F9"/>
    <w:rsid w:val="00063443"/>
    <w:rsid w:val="00065895"/>
    <w:rsid w:val="0006665E"/>
    <w:rsid w:val="0007148B"/>
    <w:rsid w:val="00075121"/>
    <w:rsid w:val="00082BD3"/>
    <w:rsid w:val="00091A5D"/>
    <w:rsid w:val="000A298C"/>
    <w:rsid w:val="000A37E9"/>
    <w:rsid w:val="000A58EF"/>
    <w:rsid w:val="000A5F93"/>
    <w:rsid w:val="000B4491"/>
    <w:rsid w:val="000C0943"/>
    <w:rsid w:val="000C4126"/>
    <w:rsid w:val="000D17D3"/>
    <w:rsid w:val="000D6E0B"/>
    <w:rsid w:val="000E3D03"/>
    <w:rsid w:val="000E61A9"/>
    <w:rsid w:val="000E7BC0"/>
    <w:rsid w:val="000E7E6F"/>
    <w:rsid w:val="000F3B0B"/>
    <w:rsid w:val="001030B7"/>
    <w:rsid w:val="0011460E"/>
    <w:rsid w:val="001227B5"/>
    <w:rsid w:val="00124406"/>
    <w:rsid w:val="00130972"/>
    <w:rsid w:val="001314AE"/>
    <w:rsid w:val="00140A6F"/>
    <w:rsid w:val="001454A5"/>
    <w:rsid w:val="001554FD"/>
    <w:rsid w:val="001556DE"/>
    <w:rsid w:val="001558DA"/>
    <w:rsid w:val="00165273"/>
    <w:rsid w:val="001923A9"/>
    <w:rsid w:val="001923C3"/>
    <w:rsid w:val="001942B5"/>
    <w:rsid w:val="00197C00"/>
    <w:rsid w:val="001A21DB"/>
    <w:rsid w:val="001A70F5"/>
    <w:rsid w:val="001B6393"/>
    <w:rsid w:val="001D291E"/>
    <w:rsid w:val="001E1F4C"/>
    <w:rsid w:val="002027EB"/>
    <w:rsid w:val="00205CB3"/>
    <w:rsid w:val="00207A98"/>
    <w:rsid w:val="00210772"/>
    <w:rsid w:val="00211A70"/>
    <w:rsid w:val="00212B9E"/>
    <w:rsid w:val="00215198"/>
    <w:rsid w:val="00216078"/>
    <w:rsid w:val="002164F7"/>
    <w:rsid w:val="0022262D"/>
    <w:rsid w:val="00225BA9"/>
    <w:rsid w:val="0022639A"/>
    <w:rsid w:val="00231397"/>
    <w:rsid w:val="002315B6"/>
    <w:rsid w:val="00232F13"/>
    <w:rsid w:val="002349C4"/>
    <w:rsid w:val="0023767B"/>
    <w:rsid w:val="00240AD5"/>
    <w:rsid w:val="0024182E"/>
    <w:rsid w:val="00241F41"/>
    <w:rsid w:val="002449A3"/>
    <w:rsid w:val="00244F7D"/>
    <w:rsid w:val="00247273"/>
    <w:rsid w:val="00247CD5"/>
    <w:rsid w:val="00247F2E"/>
    <w:rsid w:val="00251DB1"/>
    <w:rsid w:val="00257344"/>
    <w:rsid w:val="002604B0"/>
    <w:rsid w:val="00260D99"/>
    <w:rsid w:val="00264202"/>
    <w:rsid w:val="00264F19"/>
    <w:rsid w:val="00265C2A"/>
    <w:rsid w:val="0027768E"/>
    <w:rsid w:val="002826A9"/>
    <w:rsid w:val="002831AB"/>
    <w:rsid w:val="002864DF"/>
    <w:rsid w:val="0029088B"/>
    <w:rsid w:val="0029353E"/>
    <w:rsid w:val="002947C9"/>
    <w:rsid w:val="002A2068"/>
    <w:rsid w:val="002A2AB5"/>
    <w:rsid w:val="002A2DE6"/>
    <w:rsid w:val="002A56EF"/>
    <w:rsid w:val="002A770B"/>
    <w:rsid w:val="002B2345"/>
    <w:rsid w:val="002B32F2"/>
    <w:rsid w:val="002C1FD7"/>
    <w:rsid w:val="002C361D"/>
    <w:rsid w:val="002D55E3"/>
    <w:rsid w:val="002D67B8"/>
    <w:rsid w:val="002D7CB3"/>
    <w:rsid w:val="002E4099"/>
    <w:rsid w:val="002E76C5"/>
    <w:rsid w:val="002F0F2A"/>
    <w:rsid w:val="002F7997"/>
    <w:rsid w:val="00304F5A"/>
    <w:rsid w:val="003075DE"/>
    <w:rsid w:val="00312C6C"/>
    <w:rsid w:val="00313C67"/>
    <w:rsid w:val="003148B3"/>
    <w:rsid w:val="003210E7"/>
    <w:rsid w:val="0032676E"/>
    <w:rsid w:val="0032777C"/>
    <w:rsid w:val="003362B4"/>
    <w:rsid w:val="003373DE"/>
    <w:rsid w:val="0034410F"/>
    <w:rsid w:val="003455C3"/>
    <w:rsid w:val="00354BD5"/>
    <w:rsid w:val="0036029F"/>
    <w:rsid w:val="00375A37"/>
    <w:rsid w:val="00382D8E"/>
    <w:rsid w:val="00383440"/>
    <w:rsid w:val="003953DA"/>
    <w:rsid w:val="0039567E"/>
    <w:rsid w:val="003A5EDF"/>
    <w:rsid w:val="003B60EF"/>
    <w:rsid w:val="003C6B06"/>
    <w:rsid w:val="003C7145"/>
    <w:rsid w:val="003D265D"/>
    <w:rsid w:val="003D6A73"/>
    <w:rsid w:val="003D72D0"/>
    <w:rsid w:val="003E1C2B"/>
    <w:rsid w:val="003E2336"/>
    <w:rsid w:val="003E2AB6"/>
    <w:rsid w:val="003E6280"/>
    <w:rsid w:val="003F497F"/>
    <w:rsid w:val="003F5A96"/>
    <w:rsid w:val="0040086D"/>
    <w:rsid w:val="004028A6"/>
    <w:rsid w:val="004041BA"/>
    <w:rsid w:val="0040561E"/>
    <w:rsid w:val="004109D4"/>
    <w:rsid w:val="00413807"/>
    <w:rsid w:val="00416902"/>
    <w:rsid w:val="00420AE1"/>
    <w:rsid w:val="00421E5E"/>
    <w:rsid w:val="00423750"/>
    <w:rsid w:val="004308B1"/>
    <w:rsid w:val="00433148"/>
    <w:rsid w:val="00436886"/>
    <w:rsid w:val="00440F9C"/>
    <w:rsid w:val="00441747"/>
    <w:rsid w:val="004430A4"/>
    <w:rsid w:val="00443CAD"/>
    <w:rsid w:val="004576EC"/>
    <w:rsid w:val="0046226E"/>
    <w:rsid w:val="004642EC"/>
    <w:rsid w:val="004661D2"/>
    <w:rsid w:val="00467C49"/>
    <w:rsid w:val="00473675"/>
    <w:rsid w:val="00474F83"/>
    <w:rsid w:val="00475E36"/>
    <w:rsid w:val="00482A8E"/>
    <w:rsid w:val="00487DDA"/>
    <w:rsid w:val="00493728"/>
    <w:rsid w:val="004941D2"/>
    <w:rsid w:val="00497EB9"/>
    <w:rsid w:val="004A2C07"/>
    <w:rsid w:val="004A7E44"/>
    <w:rsid w:val="004B0515"/>
    <w:rsid w:val="004B4AF6"/>
    <w:rsid w:val="004C45D4"/>
    <w:rsid w:val="004D5309"/>
    <w:rsid w:val="004E02C2"/>
    <w:rsid w:val="004E54A3"/>
    <w:rsid w:val="004F0FB0"/>
    <w:rsid w:val="004F467C"/>
    <w:rsid w:val="004F5C5A"/>
    <w:rsid w:val="004F6611"/>
    <w:rsid w:val="004F7A14"/>
    <w:rsid w:val="004F7B2B"/>
    <w:rsid w:val="00501AE2"/>
    <w:rsid w:val="00502EB7"/>
    <w:rsid w:val="00506C17"/>
    <w:rsid w:val="00507007"/>
    <w:rsid w:val="0051222C"/>
    <w:rsid w:val="00512B1B"/>
    <w:rsid w:val="00513835"/>
    <w:rsid w:val="00513E66"/>
    <w:rsid w:val="00515687"/>
    <w:rsid w:val="005179CC"/>
    <w:rsid w:val="00522DAA"/>
    <w:rsid w:val="00530D7C"/>
    <w:rsid w:val="00531FB3"/>
    <w:rsid w:val="0053241B"/>
    <w:rsid w:val="005324E1"/>
    <w:rsid w:val="00532EA7"/>
    <w:rsid w:val="00534099"/>
    <w:rsid w:val="005363FD"/>
    <w:rsid w:val="005372D9"/>
    <w:rsid w:val="0054359F"/>
    <w:rsid w:val="005517C6"/>
    <w:rsid w:val="00563C75"/>
    <w:rsid w:val="00567FD2"/>
    <w:rsid w:val="00571C5D"/>
    <w:rsid w:val="00575FEF"/>
    <w:rsid w:val="0058317E"/>
    <w:rsid w:val="00583A04"/>
    <w:rsid w:val="00585281"/>
    <w:rsid w:val="005905FE"/>
    <w:rsid w:val="005955F6"/>
    <w:rsid w:val="005A63A8"/>
    <w:rsid w:val="005C4EC3"/>
    <w:rsid w:val="005C6AE3"/>
    <w:rsid w:val="005D13A8"/>
    <w:rsid w:val="005D2EAB"/>
    <w:rsid w:val="005D7AD3"/>
    <w:rsid w:val="005E3172"/>
    <w:rsid w:val="005E3564"/>
    <w:rsid w:val="005E4368"/>
    <w:rsid w:val="005E5257"/>
    <w:rsid w:val="005E5766"/>
    <w:rsid w:val="005F3A16"/>
    <w:rsid w:val="005F452E"/>
    <w:rsid w:val="005F4F7C"/>
    <w:rsid w:val="00601CB2"/>
    <w:rsid w:val="0061039D"/>
    <w:rsid w:val="006106AE"/>
    <w:rsid w:val="00615517"/>
    <w:rsid w:val="00615838"/>
    <w:rsid w:val="00635E28"/>
    <w:rsid w:val="00640B0E"/>
    <w:rsid w:val="00642529"/>
    <w:rsid w:val="006431EF"/>
    <w:rsid w:val="0064358A"/>
    <w:rsid w:val="006465FE"/>
    <w:rsid w:val="00646707"/>
    <w:rsid w:val="00661780"/>
    <w:rsid w:val="00670772"/>
    <w:rsid w:val="006718D6"/>
    <w:rsid w:val="0067331F"/>
    <w:rsid w:val="006747CF"/>
    <w:rsid w:val="00674A43"/>
    <w:rsid w:val="00676594"/>
    <w:rsid w:val="00680A0B"/>
    <w:rsid w:val="00680B26"/>
    <w:rsid w:val="00682BFD"/>
    <w:rsid w:val="0068433F"/>
    <w:rsid w:val="00690E72"/>
    <w:rsid w:val="00693AD1"/>
    <w:rsid w:val="00693FCB"/>
    <w:rsid w:val="00694637"/>
    <w:rsid w:val="006A05D6"/>
    <w:rsid w:val="006A3DFC"/>
    <w:rsid w:val="006B071B"/>
    <w:rsid w:val="006B3518"/>
    <w:rsid w:val="006B6F73"/>
    <w:rsid w:val="006B6F75"/>
    <w:rsid w:val="006B7F07"/>
    <w:rsid w:val="006D4605"/>
    <w:rsid w:val="006D5A7C"/>
    <w:rsid w:val="006D62ED"/>
    <w:rsid w:val="006E026C"/>
    <w:rsid w:val="006F186F"/>
    <w:rsid w:val="006F4F92"/>
    <w:rsid w:val="006F664F"/>
    <w:rsid w:val="00704D6C"/>
    <w:rsid w:val="00706451"/>
    <w:rsid w:val="00714B95"/>
    <w:rsid w:val="00715E59"/>
    <w:rsid w:val="007337FB"/>
    <w:rsid w:val="007350FA"/>
    <w:rsid w:val="00736959"/>
    <w:rsid w:val="00740A58"/>
    <w:rsid w:val="007429B0"/>
    <w:rsid w:val="00747A77"/>
    <w:rsid w:val="00750033"/>
    <w:rsid w:val="007501A3"/>
    <w:rsid w:val="007502F1"/>
    <w:rsid w:val="00750F49"/>
    <w:rsid w:val="007562EC"/>
    <w:rsid w:val="0075685A"/>
    <w:rsid w:val="00764CCE"/>
    <w:rsid w:val="007663C4"/>
    <w:rsid w:val="00770686"/>
    <w:rsid w:val="00774545"/>
    <w:rsid w:val="00774E68"/>
    <w:rsid w:val="00774EC2"/>
    <w:rsid w:val="0077538E"/>
    <w:rsid w:val="00781694"/>
    <w:rsid w:val="00781998"/>
    <w:rsid w:val="007821A8"/>
    <w:rsid w:val="00785260"/>
    <w:rsid w:val="0078752F"/>
    <w:rsid w:val="007875CA"/>
    <w:rsid w:val="00791172"/>
    <w:rsid w:val="0079582D"/>
    <w:rsid w:val="00796101"/>
    <w:rsid w:val="00796C3A"/>
    <w:rsid w:val="007A40A0"/>
    <w:rsid w:val="007A4959"/>
    <w:rsid w:val="007B22E5"/>
    <w:rsid w:val="007B2CE7"/>
    <w:rsid w:val="007B6E1C"/>
    <w:rsid w:val="007C0FA4"/>
    <w:rsid w:val="007D7185"/>
    <w:rsid w:val="007E53BD"/>
    <w:rsid w:val="007F0247"/>
    <w:rsid w:val="007F1BF8"/>
    <w:rsid w:val="007F4948"/>
    <w:rsid w:val="007F4C97"/>
    <w:rsid w:val="007F6FCF"/>
    <w:rsid w:val="007F735D"/>
    <w:rsid w:val="008028BD"/>
    <w:rsid w:val="00804260"/>
    <w:rsid w:val="00804A0B"/>
    <w:rsid w:val="00805C23"/>
    <w:rsid w:val="00814514"/>
    <w:rsid w:val="00821BC9"/>
    <w:rsid w:val="008251B2"/>
    <w:rsid w:val="00826202"/>
    <w:rsid w:val="00830429"/>
    <w:rsid w:val="00833473"/>
    <w:rsid w:val="0085067B"/>
    <w:rsid w:val="00851B27"/>
    <w:rsid w:val="00851DBB"/>
    <w:rsid w:val="00860A36"/>
    <w:rsid w:val="008611D6"/>
    <w:rsid w:val="0087664E"/>
    <w:rsid w:val="0087708C"/>
    <w:rsid w:val="0089340B"/>
    <w:rsid w:val="00894283"/>
    <w:rsid w:val="008A19CA"/>
    <w:rsid w:val="008B4512"/>
    <w:rsid w:val="008B4F7C"/>
    <w:rsid w:val="008B4FB2"/>
    <w:rsid w:val="008B545E"/>
    <w:rsid w:val="008B5A89"/>
    <w:rsid w:val="008B7E10"/>
    <w:rsid w:val="008E2A12"/>
    <w:rsid w:val="008F0EAE"/>
    <w:rsid w:val="008F3C57"/>
    <w:rsid w:val="008F7704"/>
    <w:rsid w:val="009028CF"/>
    <w:rsid w:val="00904F9A"/>
    <w:rsid w:val="00906436"/>
    <w:rsid w:val="00906D2F"/>
    <w:rsid w:val="00906DB9"/>
    <w:rsid w:val="0091290A"/>
    <w:rsid w:val="0091796E"/>
    <w:rsid w:val="009201A5"/>
    <w:rsid w:val="00923392"/>
    <w:rsid w:val="00943AA0"/>
    <w:rsid w:val="00960614"/>
    <w:rsid w:val="009608AB"/>
    <w:rsid w:val="00962953"/>
    <w:rsid w:val="00970000"/>
    <w:rsid w:val="00972005"/>
    <w:rsid w:val="00973E14"/>
    <w:rsid w:val="00983C35"/>
    <w:rsid w:val="00983DE9"/>
    <w:rsid w:val="009853D3"/>
    <w:rsid w:val="00986242"/>
    <w:rsid w:val="00990645"/>
    <w:rsid w:val="009917BB"/>
    <w:rsid w:val="00997619"/>
    <w:rsid w:val="009A4345"/>
    <w:rsid w:val="009A5A01"/>
    <w:rsid w:val="009A6C98"/>
    <w:rsid w:val="009A6FD6"/>
    <w:rsid w:val="009B13C0"/>
    <w:rsid w:val="009B28BF"/>
    <w:rsid w:val="009B5281"/>
    <w:rsid w:val="009C1F06"/>
    <w:rsid w:val="009C2E65"/>
    <w:rsid w:val="009C3658"/>
    <w:rsid w:val="009C3EDF"/>
    <w:rsid w:val="009C413D"/>
    <w:rsid w:val="009D2C0A"/>
    <w:rsid w:val="009F2F79"/>
    <w:rsid w:val="009F37FD"/>
    <w:rsid w:val="00A03149"/>
    <w:rsid w:val="00A04EDD"/>
    <w:rsid w:val="00A100CA"/>
    <w:rsid w:val="00A12471"/>
    <w:rsid w:val="00A12A44"/>
    <w:rsid w:val="00A14F8E"/>
    <w:rsid w:val="00A24FB2"/>
    <w:rsid w:val="00A25B0E"/>
    <w:rsid w:val="00A31DB8"/>
    <w:rsid w:val="00A42FDB"/>
    <w:rsid w:val="00A4650C"/>
    <w:rsid w:val="00A47711"/>
    <w:rsid w:val="00A47930"/>
    <w:rsid w:val="00A47DBF"/>
    <w:rsid w:val="00A54A53"/>
    <w:rsid w:val="00A565BE"/>
    <w:rsid w:val="00A56964"/>
    <w:rsid w:val="00A64E58"/>
    <w:rsid w:val="00A65211"/>
    <w:rsid w:val="00A808C9"/>
    <w:rsid w:val="00A86289"/>
    <w:rsid w:val="00A924F5"/>
    <w:rsid w:val="00A9325D"/>
    <w:rsid w:val="00A93410"/>
    <w:rsid w:val="00A9594E"/>
    <w:rsid w:val="00A960D0"/>
    <w:rsid w:val="00AA1472"/>
    <w:rsid w:val="00AA5D1C"/>
    <w:rsid w:val="00AC561B"/>
    <w:rsid w:val="00AC5C9F"/>
    <w:rsid w:val="00AC796F"/>
    <w:rsid w:val="00AD2B02"/>
    <w:rsid w:val="00AD5628"/>
    <w:rsid w:val="00AE5D54"/>
    <w:rsid w:val="00AF08F7"/>
    <w:rsid w:val="00AF7013"/>
    <w:rsid w:val="00B05D1F"/>
    <w:rsid w:val="00B10D1A"/>
    <w:rsid w:val="00B12BBD"/>
    <w:rsid w:val="00B207E6"/>
    <w:rsid w:val="00B22BB6"/>
    <w:rsid w:val="00B2335F"/>
    <w:rsid w:val="00B30AA1"/>
    <w:rsid w:val="00B34871"/>
    <w:rsid w:val="00B3510B"/>
    <w:rsid w:val="00B41C69"/>
    <w:rsid w:val="00B51D18"/>
    <w:rsid w:val="00B525C2"/>
    <w:rsid w:val="00B67CC1"/>
    <w:rsid w:val="00B72746"/>
    <w:rsid w:val="00B77B78"/>
    <w:rsid w:val="00B8732B"/>
    <w:rsid w:val="00B90CB9"/>
    <w:rsid w:val="00B97D8E"/>
    <w:rsid w:val="00BA11E4"/>
    <w:rsid w:val="00BA16DB"/>
    <w:rsid w:val="00BB0D05"/>
    <w:rsid w:val="00BB3903"/>
    <w:rsid w:val="00BB5C7B"/>
    <w:rsid w:val="00BC591F"/>
    <w:rsid w:val="00BC5961"/>
    <w:rsid w:val="00BC79B2"/>
    <w:rsid w:val="00BD1059"/>
    <w:rsid w:val="00BD2851"/>
    <w:rsid w:val="00BD75EB"/>
    <w:rsid w:val="00BE17F2"/>
    <w:rsid w:val="00BE1BD4"/>
    <w:rsid w:val="00BF53B3"/>
    <w:rsid w:val="00BF5B47"/>
    <w:rsid w:val="00C011FD"/>
    <w:rsid w:val="00C137A2"/>
    <w:rsid w:val="00C15843"/>
    <w:rsid w:val="00C21A02"/>
    <w:rsid w:val="00C26C4F"/>
    <w:rsid w:val="00C459C9"/>
    <w:rsid w:val="00C63C9B"/>
    <w:rsid w:val="00C67186"/>
    <w:rsid w:val="00C72AE1"/>
    <w:rsid w:val="00C736F1"/>
    <w:rsid w:val="00C743E1"/>
    <w:rsid w:val="00C83FB0"/>
    <w:rsid w:val="00C84A8F"/>
    <w:rsid w:val="00C84C80"/>
    <w:rsid w:val="00C85647"/>
    <w:rsid w:val="00C856A2"/>
    <w:rsid w:val="00C87F18"/>
    <w:rsid w:val="00C93CEA"/>
    <w:rsid w:val="00CA1AC0"/>
    <w:rsid w:val="00CA2061"/>
    <w:rsid w:val="00CA65A7"/>
    <w:rsid w:val="00CA7021"/>
    <w:rsid w:val="00CB4F96"/>
    <w:rsid w:val="00CC0499"/>
    <w:rsid w:val="00CD3764"/>
    <w:rsid w:val="00CD60DB"/>
    <w:rsid w:val="00CE1624"/>
    <w:rsid w:val="00CF044A"/>
    <w:rsid w:val="00CF4BB6"/>
    <w:rsid w:val="00D00D38"/>
    <w:rsid w:val="00D01D0F"/>
    <w:rsid w:val="00D03144"/>
    <w:rsid w:val="00D06E35"/>
    <w:rsid w:val="00D10B02"/>
    <w:rsid w:val="00D13742"/>
    <w:rsid w:val="00D248C7"/>
    <w:rsid w:val="00D26DE7"/>
    <w:rsid w:val="00D31094"/>
    <w:rsid w:val="00D37336"/>
    <w:rsid w:val="00D410D3"/>
    <w:rsid w:val="00D431EC"/>
    <w:rsid w:val="00D44ED3"/>
    <w:rsid w:val="00D53687"/>
    <w:rsid w:val="00D636DC"/>
    <w:rsid w:val="00D6482E"/>
    <w:rsid w:val="00D64A9A"/>
    <w:rsid w:val="00D7591A"/>
    <w:rsid w:val="00D76BF3"/>
    <w:rsid w:val="00D80425"/>
    <w:rsid w:val="00D83727"/>
    <w:rsid w:val="00D85AE4"/>
    <w:rsid w:val="00D96F26"/>
    <w:rsid w:val="00DA1AA5"/>
    <w:rsid w:val="00DA2F3D"/>
    <w:rsid w:val="00DB0B89"/>
    <w:rsid w:val="00DB48E8"/>
    <w:rsid w:val="00DB7796"/>
    <w:rsid w:val="00DC0BC5"/>
    <w:rsid w:val="00DC7C3E"/>
    <w:rsid w:val="00DD0AA0"/>
    <w:rsid w:val="00DD1169"/>
    <w:rsid w:val="00DD1717"/>
    <w:rsid w:val="00DD23FA"/>
    <w:rsid w:val="00DE00A6"/>
    <w:rsid w:val="00DE4095"/>
    <w:rsid w:val="00DE6B07"/>
    <w:rsid w:val="00DF1A32"/>
    <w:rsid w:val="00DF37A2"/>
    <w:rsid w:val="00DF5EE7"/>
    <w:rsid w:val="00E07248"/>
    <w:rsid w:val="00E15290"/>
    <w:rsid w:val="00E17ECA"/>
    <w:rsid w:val="00E30A95"/>
    <w:rsid w:val="00E32F95"/>
    <w:rsid w:val="00E3304B"/>
    <w:rsid w:val="00E33B56"/>
    <w:rsid w:val="00E46AC1"/>
    <w:rsid w:val="00E521EA"/>
    <w:rsid w:val="00E56AAD"/>
    <w:rsid w:val="00E61736"/>
    <w:rsid w:val="00E62EB2"/>
    <w:rsid w:val="00E64305"/>
    <w:rsid w:val="00E6680E"/>
    <w:rsid w:val="00E74DA5"/>
    <w:rsid w:val="00E74DCD"/>
    <w:rsid w:val="00E767CC"/>
    <w:rsid w:val="00E80F89"/>
    <w:rsid w:val="00E81868"/>
    <w:rsid w:val="00E8577D"/>
    <w:rsid w:val="00E91768"/>
    <w:rsid w:val="00E94F03"/>
    <w:rsid w:val="00E97440"/>
    <w:rsid w:val="00E97705"/>
    <w:rsid w:val="00E97749"/>
    <w:rsid w:val="00EB01E7"/>
    <w:rsid w:val="00EB68DB"/>
    <w:rsid w:val="00EB6CA7"/>
    <w:rsid w:val="00EB7799"/>
    <w:rsid w:val="00EC2501"/>
    <w:rsid w:val="00EC65F4"/>
    <w:rsid w:val="00EC7526"/>
    <w:rsid w:val="00EC7F37"/>
    <w:rsid w:val="00ED1B8A"/>
    <w:rsid w:val="00ED52D1"/>
    <w:rsid w:val="00EE008F"/>
    <w:rsid w:val="00EE1405"/>
    <w:rsid w:val="00EE514E"/>
    <w:rsid w:val="00EE5D73"/>
    <w:rsid w:val="00EE6014"/>
    <w:rsid w:val="00EF5FB4"/>
    <w:rsid w:val="00EF6BD5"/>
    <w:rsid w:val="00EF722F"/>
    <w:rsid w:val="00F03E80"/>
    <w:rsid w:val="00F108F1"/>
    <w:rsid w:val="00F114D0"/>
    <w:rsid w:val="00F12819"/>
    <w:rsid w:val="00F22537"/>
    <w:rsid w:val="00F26BE8"/>
    <w:rsid w:val="00F319C3"/>
    <w:rsid w:val="00F441D0"/>
    <w:rsid w:val="00F4705B"/>
    <w:rsid w:val="00F4739A"/>
    <w:rsid w:val="00F52A15"/>
    <w:rsid w:val="00F54152"/>
    <w:rsid w:val="00F622E1"/>
    <w:rsid w:val="00F64336"/>
    <w:rsid w:val="00F67D94"/>
    <w:rsid w:val="00F71284"/>
    <w:rsid w:val="00F85BA0"/>
    <w:rsid w:val="00F8756A"/>
    <w:rsid w:val="00F87703"/>
    <w:rsid w:val="00F97A4E"/>
    <w:rsid w:val="00FA2D90"/>
    <w:rsid w:val="00FA7045"/>
    <w:rsid w:val="00FA7A96"/>
    <w:rsid w:val="00FA7BC8"/>
    <w:rsid w:val="00FB198C"/>
    <w:rsid w:val="00FB5916"/>
    <w:rsid w:val="00FB593F"/>
    <w:rsid w:val="00FD3A7D"/>
    <w:rsid w:val="00FD4D9F"/>
    <w:rsid w:val="00FE09FF"/>
    <w:rsid w:val="00FE18AB"/>
    <w:rsid w:val="00FE1F46"/>
    <w:rsid w:val="00FE2136"/>
    <w:rsid w:val="00FE3ACD"/>
    <w:rsid w:val="00FF4654"/>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444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906DB9"/>
    <w:pPr>
      <w:ind w:firstLine="360"/>
    </w:pPr>
  </w:style>
  <w:style w:type="paragraph" w:styleId="Heading1">
    <w:name w:val="heading 1"/>
    <w:basedOn w:val="Normal"/>
    <w:next w:val="Normal"/>
    <w:link w:val="Heading1Char"/>
    <w:uiPriority w:val="9"/>
    <w:qFormat/>
    <w:rsid w:val="0024182E"/>
    <w:pPr>
      <w:ind w:firstLine="0"/>
      <w:outlineLvl w:val="0"/>
    </w:pPr>
    <w:rPr>
      <w:rFonts w:asciiTheme="majorHAnsi" w:hAnsiTheme="majorHAnsi"/>
      <w:b/>
      <w:caps/>
      <w:sz w:val="144"/>
      <w:szCs w:val="96"/>
    </w:rPr>
  </w:style>
  <w:style w:type="paragraph" w:styleId="Heading2">
    <w:name w:val="heading 2"/>
    <w:basedOn w:val="Normal"/>
    <w:next w:val="Normal"/>
    <w:link w:val="Heading2Char"/>
    <w:uiPriority w:val="9"/>
    <w:qFormat/>
    <w:rsid w:val="0024182E"/>
    <w:pPr>
      <w:ind w:firstLine="0"/>
      <w:outlineLvl w:val="1"/>
    </w:pPr>
    <w:rPr>
      <w:rFonts w:asciiTheme="majorHAnsi" w:hAnsiTheme="majorHAnsi"/>
      <w:caps/>
      <w:sz w:val="52"/>
      <w:szCs w:val="96"/>
    </w:rPr>
  </w:style>
  <w:style w:type="paragraph" w:styleId="Heading3">
    <w:name w:val="heading 3"/>
    <w:basedOn w:val="Normal"/>
    <w:next w:val="Normal"/>
    <w:link w:val="Heading3Char"/>
    <w:uiPriority w:val="9"/>
    <w:qFormat/>
    <w:rsid w:val="009B13C0"/>
    <w:pPr>
      <w:ind w:firstLine="0"/>
      <w:jc w:val="center"/>
      <w:outlineLvl w:val="2"/>
    </w:pPr>
    <w:rPr>
      <w:rFonts w:asciiTheme="majorHAnsi" w:hAnsiTheme="majorHAnsi" w:cstheme="majorHAnsi"/>
      <w:b/>
      <w:caps/>
      <w:noProof/>
      <w:sz w:val="144"/>
      <w:szCs w:val="96"/>
    </w:rPr>
  </w:style>
  <w:style w:type="paragraph" w:styleId="Heading4">
    <w:name w:val="heading 4"/>
    <w:basedOn w:val="Normal"/>
    <w:next w:val="Normal"/>
    <w:link w:val="Heading4Char"/>
    <w:uiPriority w:val="9"/>
    <w:qFormat/>
    <w:rsid w:val="00640B0E"/>
    <w:pPr>
      <w:ind w:firstLine="0"/>
      <w:jc w:val="center"/>
      <w:outlineLvl w:val="3"/>
    </w:pPr>
    <w:rPr>
      <w:rFonts w:asciiTheme="majorHAnsi" w:hAnsiTheme="majorHAnsi" w:cstheme="minorHAnsi"/>
      <w:i/>
      <w:caps/>
      <w:noProof/>
      <w:color w:val="FFFFFF" w:themeColor="background1"/>
      <w:sz w:val="56"/>
      <w:szCs w:val="44"/>
    </w:rPr>
  </w:style>
  <w:style w:type="paragraph" w:styleId="Heading5">
    <w:name w:val="heading 5"/>
    <w:basedOn w:val="Normal"/>
    <w:next w:val="Normal"/>
    <w:link w:val="Heading5Char"/>
    <w:uiPriority w:val="9"/>
    <w:qFormat/>
    <w:rsid w:val="00851B27"/>
    <w:pPr>
      <w:autoSpaceDE w:val="0"/>
      <w:autoSpaceDN w:val="0"/>
      <w:adjustRightInd w:val="0"/>
      <w:ind w:firstLine="0"/>
      <w:outlineLvl w:val="4"/>
    </w:pPr>
    <w:rPr>
      <w:rFonts w:asciiTheme="majorHAnsi" w:hAnsiTheme="majorHAnsi" w:cs="Times New Roman"/>
      <w:b/>
      <w:bCs/>
      <w:i/>
      <w:caps/>
      <w:color w:val="FFFFFF" w:themeColor="background1"/>
      <w:sz w:val="160"/>
      <w:szCs w:val="96"/>
      <w14:textOutline w14:w="9525" w14:cap="rnd" w14:cmpd="sng" w14:algn="ctr">
        <w14:noFill/>
        <w14:prstDash w14:val="solid"/>
        <w14:bevel/>
      </w14:textOutline>
    </w:rPr>
  </w:style>
  <w:style w:type="paragraph" w:styleId="Heading6">
    <w:name w:val="heading 6"/>
    <w:basedOn w:val="Normal"/>
    <w:next w:val="Normal"/>
    <w:link w:val="Heading6Char"/>
    <w:uiPriority w:val="9"/>
    <w:qFormat/>
    <w:rsid w:val="00851B27"/>
    <w:pPr>
      <w:autoSpaceDE w:val="0"/>
      <w:autoSpaceDN w:val="0"/>
      <w:adjustRightInd w:val="0"/>
      <w:spacing w:after="240"/>
      <w:ind w:firstLine="0"/>
      <w:outlineLvl w:val="5"/>
    </w:pPr>
    <w:rPr>
      <w:rFonts w:asciiTheme="majorHAnsi" w:hAnsiTheme="majorHAnsi" w:cs="Arial"/>
      <w:caps/>
      <w:color w:val="FFFFFF" w:themeColor="background1"/>
      <w:sz w:val="44"/>
      <w:szCs w:val="36"/>
      <w14:textOutline w14:w="9525" w14:cap="rnd" w14:cmpd="sng" w14:algn="ctr">
        <w14:noFill/>
        <w14:prstDash w14:val="solid"/>
        <w14:bevel/>
      </w14:textOutline>
    </w:rPr>
  </w:style>
  <w:style w:type="paragraph" w:styleId="Heading7">
    <w:name w:val="heading 7"/>
    <w:basedOn w:val="Normal"/>
    <w:next w:val="Normal"/>
    <w:link w:val="Heading7Char"/>
    <w:uiPriority w:val="9"/>
    <w:qFormat/>
    <w:rsid w:val="00851B27"/>
    <w:pPr>
      <w:ind w:left="432" w:firstLine="0"/>
      <w:jc w:val="center"/>
      <w:outlineLvl w:val="6"/>
    </w:pPr>
    <w:rPr>
      <w:rFonts w:asciiTheme="majorHAnsi" w:hAnsiTheme="majorHAnsi" w:cs="Times New Roman"/>
      <w:b/>
      <w:bCs/>
      <w:caps/>
      <w:color w:val="000000" w:themeColor="text1"/>
      <w:sz w:val="96"/>
      <w:szCs w:val="96"/>
      <w14:textOutline w14:w="9525" w14:cap="rnd" w14:cmpd="sng" w14:algn="ctr">
        <w14:noFill/>
        <w14:prstDash w14:val="solid"/>
        <w14:bevel/>
      </w14:textOutline>
    </w:rPr>
  </w:style>
  <w:style w:type="paragraph" w:styleId="Heading8">
    <w:name w:val="heading 8"/>
    <w:basedOn w:val="Normal"/>
    <w:next w:val="Normal"/>
    <w:link w:val="Heading8Char"/>
    <w:uiPriority w:val="9"/>
    <w:qFormat/>
    <w:rsid w:val="00851B27"/>
    <w:pPr>
      <w:ind w:firstLine="0"/>
      <w:jc w:val="center"/>
      <w:outlineLvl w:val="7"/>
    </w:pPr>
    <w:rPr>
      <w:rFonts w:asciiTheme="majorHAnsi" w:hAnsiTheme="majorHAnsi" w:cs="Arial"/>
      <w:i/>
      <w:caps/>
      <w:color w:val="7B230B" w:themeColor="accent1" w:themeShade="BF"/>
      <w:sz w:val="56"/>
      <w:szCs w:val="36"/>
      <w14:textOutline w14:w="9525" w14:cap="rnd" w14:cmpd="sng" w14:algn="ctr">
        <w14:noFill/>
        <w14:prstDash w14:val="solid"/>
        <w14:bevel/>
      </w14:textOutline>
    </w:rPr>
  </w:style>
  <w:style w:type="paragraph" w:styleId="Heading9">
    <w:name w:val="heading 9"/>
    <w:basedOn w:val="Normal"/>
    <w:next w:val="Normal"/>
    <w:link w:val="Heading9Char"/>
    <w:uiPriority w:val="9"/>
    <w:qFormat/>
    <w:rsid w:val="000E3D03"/>
    <w:pPr>
      <w:keepNext/>
      <w:keepLines/>
      <w:ind w:firstLine="0"/>
      <w:jc w:val="center"/>
      <w:outlineLvl w:val="8"/>
    </w:pPr>
    <w:rPr>
      <w:rFonts w:asciiTheme="majorHAnsi" w:eastAsiaTheme="majorEastAsia" w:hAnsiTheme="majorHAnsi" w:cstheme="majorBidi"/>
      <w:iCs/>
      <w:caps/>
      <w:sz w:val="14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685A"/>
    <w:pPr>
      <w:tabs>
        <w:tab w:val="center" w:pos="4680"/>
        <w:tab w:val="right" w:pos="9360"/>
      </w:tabs>
      <w:ind w:firstLine="0"/>
    </w:pPr>
  </w:style>
  <w:style w:type="character" w:customStyle="1" w:styleId="HeaderChar">
    <w:name w:val="Header Char"/>
    <w:basedOn w:val="DefaultParagraphFont"/>
    <w:link w:val="Header"/>
    <w:uiPriority w:val="99"/>
    <w:rsid w:val="00467C49"/>
  </w:style>
  <w:style w:type="paragraph" w:styleId="Footer">
    <w:name w:val="footer"/>
    <w:basedOn w:val="Normal"/>
    <w:link w:val="FooterChar"/>
    <w:uiPriority w:val="99"/>
    <w:rsid w:val="0075685A"/>
    <w:pPr>
      <w:tabs>
        <w:tab w:val="center" w:pos="4680"/>
        <w:tab w:val="right" w:pos="9360"/>
      </w:tabs>
      <w:ind w:right="634" w:firstLine="0"/>
      <w:jc w:val="right"/>
    </w:pPr>
  </w:style>
  <w:style w:type="character" w:customStyle="1" w:styleId="FooterChar">
    <w:name w:val="Footer Char"/>
    <w:basedOn w:val="DefaultParagraphFont"/>
    <w:link w:val="Footer"/>
    <w:uiPriority w:val="99"/>
    <w:rsid w:val="00467C49"/>
  </w:style>
  <w:style w:type="character" w:styleId="PageNumber">
    <w:name w:val="page number"/>
    <w:basedOn w:val="DefaultParagraphFont"/>
    <w:uiPriority w:val="99"/>
    <w:semiHidden/>
    <w:unhideWhenUsed/>
    <w:rsid w:val="0087708C"/>
  </w:style>
  <w:style w:type="character" w:styleId="PlaceholderText">
    <w:name w:val="Placeholder Text"/>
    <w:basedOn w:val="DefaultParagraphFont"/>
    <w:uiPriority w:val="99"/>
    <w:semiHidden/>
    <w:rsid w:val="006F4F92"/>
    <w:rPr>
      <w:color w:val="808080"/>
    </w:rPr>
  </w:style>
  <w:style w:type="paragraph" w:styleId="Title">
    <w:name w:val="Title"/>
    <w:basedOn w:val="Normal"/>
    <w:next w:val="Normal"/>
    <w:link w:val="TitleChar"/>
    <w:uiPriority w:val="10"/>
    <w:qFormat/>
    <w:rsid w:val="006D4605"/>
    <w:pPr>
      <w:ind w:firstLine="0"/>
      <w:jc w:val="center"/>
    </w:pPr>
    <w:rPr>
      <w:rFonts w:asciiTheme="majorHAnsi" w:hAnsiTheme="majorHAnsi"/>
      <w:caps/>
      <w:color w:val="FFFFFF" w:themeColor="background1"/>
      <w:sz w:val="110"/>
      <w:szCs w:val="110"/>
    </w:rPr>
  </w:style>
  <w:style w:type="character" w:customStyle="1" w:styleId="TitleChar">
    <w:name w:val="Title Char"/>
    <w:basedOn w:val="DefaultParagraphFont"/>
    <w:link w:val="Title"/>
    <w:uiPriority w:val="10"/>
    <w:rsid w:val="006D4605"/>
    <w:rPr>
      <w:rFonts w:asciiTheme="majorHAnsi" w:hAnsiTheme="majorHAnsi"/>
      <w:caps/>
      <w:color w:val="FFFFFF" w:themeColor="background1"/>
      <w:sz w:val="110"/>
      <w:szCs w:val="110"/>
    </w:rPr>
  </w:style>
  <w:style w:type="character" w:customStyle="1" w:styleId="Heading1Char">
    <w:name w:val="Heading 1 Char"/>
    <w:basedOn w:val="DefaultParagraphFont"/>
    <w:link w:val="Heading1"/>
    <w:uiPriority w:val="9"/>
    <w:rsid w:val="0024182E"/>
    <w:rPr>
      <w:rFonts w:asciiTheme="majorHAnsi" w:hAnsiTheme="majorHAnsi"/>
      <w:b/>
      <w:caps/>
      <w:sz w:val="144"/>
      <w:szCs w:val="96"/>
    </w:rPr>
  </w:style>
  <w:style w:type="character" w:customStyle="1" w:styleId="Heading2Char">
    <w:name w:val="Heading 2 Char"/>
    <w:basedOn w:val="DefaultParagraphFont"/>
    <w:link w:val="Heading2"/>
    <w:uiPriority w:val="9"/>
    <w:rsid w:val="0024182E"/>
    <w:rPr>
      <w:rFonts w:asciiTheme="majorHAnsi" w:hAnsiTheme="majorHAnsi"/>
      <w:caps/>
      <w:sz w:val="52"/>
      <w:szCs w:val="96"/>
    </w:rPr>
  </w:style>
  <w:style w:type="paragraph" w:customStyle="1" w:styleId="HeaderRight">
    <w:name w:val="Header Right"/>
    <w:basedOn w:val="Normal"/>
    <w:uiPriority w:val="11"/>
    <w:qFormat/>
    <w:rsid w:val="00851B27"/>
    <w:pPr>
      <w:autoSpaceDE w:val="0"/>
      <w:autoSpaceDN w:val="0"/>
      <w:adjustRightInd w:val="0"/>
      <w:spacing w:line="288" w:lineRule="auto"/>
      <w:ind w:firstLine="0"/>
      <w:contextualSpacing/>
      <w:jc w:val="center"/>
      <w:textAlignment w:val="center"/>
    </w:pPr>
    <w:rPr>
      <w:rFonts w:asciiTheme="majorHAnsi" w:eastAsiaTheme="minorEastAsia" w:hAnsiTheme="majorHAnsi" w:cstheme="minorHAnsi"/>
      <w:caps/>
      <w:sz w:val="21"/>
      <w:szCs w:val="21"/>
      <w:lang w:eastAsia="ja-JP"/>
    </w:rPr>
  </w:style>
  <w:style w:type="paragraph" w:customStyle="1" w:styleId="HeaderLeft">
    <w:name w:val="Header Left"/>
    <w:basedOn w:val="Normal"/>
    <w:uiPriority w:val="11"/>
    <w:qFormat/>
    <w:rsid w:val="0075685A"/>
    <w:pPr>
      <w:ind w:firstLine="0"/>
      <w:jc w:val="center"/>
    </w:pPr>
  </w:style>
  <w:style w:type="paragraph" w:customStyle="1" w:styleId="Tagline">
    <w:name w:val="Tagline"/>
    <w:basedOn w:val="Normal"/>
    <w:uiPriority w:val="11"/>
    <w:qFormat/>
    <w:rsid w:val="00851B27"/>
    <w:pPr>
      <w:ind w:firstLine="0"/>
      <w:jc w:val="center"/>
    </w:pPr>
    <w:rPr>
      <w:rFonts w:asciiTheme="majorHAnsi" w:hAnsiTheme="majorHAnsi" w:cs="Arial"/>
      <w:bCs/>
      <w:caps/>
      <w:color w:val="262626" w:themeColor="text1" w:themeTint="D9"/>
      <w:spacing w:val="28"/>
      <w:sz w:val="32"/>
      <w:szCs w:val="46"/>
    </w:rPr>
  </w:style>
  <w:style w:type="character" w:customStyle="1" w:styleId="Heading3Char">
    <w:name w:val="Heading 3 Char"/>
    <w:basedOn w:val="DefaultParagraphFont"/>
    <w:link w:val="Heading3"/>
    <w:uiPriority w:val="9"/>
    <w:rsid w:val="009B13C0"/>
    <w:rPr>
      <w:rFonts w:asciiTheme="majorHAnsi" w:hAnsiTheme="majorHAnsi" w:cstheme="majorHAnsi"/>
      <w:b/>
      <w:caps/>
      <w:noProof/>
      <w:sz w:val="144"/>
      <w:szCs w:val="96"/>
    </w:rPr>
  </w:style>
  <w:style w:type="character" w:customStyle="1" w:styleId="Heading4Char">
    <w:name w:val="Heading 4 Char"/>
    <w:basedOn w:val="DefaultParagraphFont"/>
    <w:link w:val="Heading4"/>
    <w:uiPriority w:val="9"/>
    <w:rsid w:val="00640B0E"/>
    <w:rPr>
      <w:rFonts w:asciiTheme="majorHAnsi" w:hAnsiTheme="majorHAnsi" w:cstheme="minorHAnsi"/>
      <w:i/>
      <w:caps/>
      <w:noProof/>
      <w:color w:val="FFFFFF" w:themeColor="background1"/>
      <w:sz w:val="56"/>
      <w:szCs w:val="44"/>
    </w:rPr>
  </w:style>
  <w:style w:type="paragraph" w:styleId="Quote">
    <w:name w:val="Quote"/>
    <w:basedOn w:val="Normal"/>
    <w:next w:val="Normal"/>
    <w:link w:val="QuoteChar"/>
    <w:uiPriority w:val="29"/>
    <w:qFormat/>
    <w:rsid w:val="006B7F07"/>
    <w:pPr>
      <w:ind w:firstLine="0"/>
      <w:jc w:val="center"/>
    </w:pPr>
    <w:rPr>
      <w:rFonts w:cstheme="majorHAnsi"/>
      <w:b/>
      <w:i/>
      <w:noProof/>
      <w:color w:val="000F64" w:themeColor="accent2"/>
      <w:sz w:val="36"/>
      <w14:textOutline w14:w="9525" w14:cap="rnd" w14:cmpd="sng" w14:algn="ctr">
        <w14:noFill/>
        <w14:prstDash w14:val="solid"/>
        <w14:bevel/>
      </w14:textOutline>
    </w:rPr>
  </w:style>
  <w:style w:type="character" w:customStyle="1" w:styleId="QuoteChar">
    <w:name w:val="Quote Char"/>
    <w:basedOn w:val="DefaultParagraphFont"/>
    <w:link w:val="Quote"/>
    <w:uiPriority w:val="29"/>
    <w:rsid w:val="006B7F07"/>
    <w:rPr>
      <w:rFonts w:cstheme="majorHAnsi"/>
      <w:b/>
      <w:i/>
      <w:noProof/>
      <w:color w:val="000F64" w:themeColor="accent2"/>
      <w:sz w:val="36"/>
      <w14:textOutline w14:w="9525" w14:cap="rnd" w14:cmpd="sng" w14:algn="ctr">
        <w14:noFill/>
        <w14:prstDash w14:val="solid"/>
        <w14:bevel/>
      </w14:textOutline>
    </w:rPr>
  </w:style>
  <w:style w:type="character" w:customStyle="1" w:styleId="Heading5Char">
    <w:name w:val="Heading 5 Char"/>
    <w:basedOn w:val="DefaultParagraphFont"/>
    <w:link w:val="Heading5"/>
    <w:uiPriority w:val="9"/>
    <w:rsid w:val="00851B27"/>
    <w:rPr>
      <w:rFonts w:asciiTheme="majorHAnsi" w:hAnsiTheme="majorHAnsi" w:cs="Times New Roman"/>
      <w:b/>
      <w:bCs/>
      <w:i/>
      <w:caps/>
      <w:color w:val="FFFFFF" w:themeColor="background1"/>
      <w:sz w:val="160"/>
      <w:szCs w:val="96"/>
      <w14:textOutline w14:w="9525" w14:cap="rnd" w14:cmpd="sng" w14:algn="ctr">
        <w14:noFill/>
        <w14:prstDash w14:val="solid"/>
        <w14:bevel/>
      </w14:textOutline>
    </w:rPr>
  </w:style>
  <w:style w:type="character" w:customStyle="1" w:styleId="Heading6Char">
    <w:name w:val="Heading 6 Char"/>
    <w:basedOn w:val="DefaultParagraphFont"/>
    <w:link w:val="Heading6"/>
    <w:uiPriority w:val="9"/>
    <w:rsid w:val="00851B27"/>
    <w:rPr>
      <w:rFonts w:asciiTheme="majorHAnsi" w:hAnsiTheme="majorHAnsi" w:cs="Arial"/>
      <w:caps/>
      <w:color w:val="FFFFFF" w:themeColor="background1"/>
      <w:sz w:val="44"/>
      <w:szCs w:val="36"/>
      <w14:textOutline w14:w="9525" w14:cap="rnd" w14:cmpd="sng" w14:algn="ctr">
        <w14:noFill/>
        <w14:prstDash w14:val="solid"/>
        <w14:bevel/>
      </w14:textOutline>
    </w:rPr>
  </w:style>
  <w:style w:type="character" w:customStyle="1" w:styleId="Heading7Char">
    <w:name w:val="Heading 7 Char"/>
    <w:basedOn w:val="DefaultParagraphFont"/>
    <w:link w:val="Heading7"/>
    <w:uiPriority w:val="9"/>
    <w:rsid w:val="00851B27"/>
    <w:rPr>
      <w:rFonts w:asciiTheme="majorHAnsi" w:hAnsiTheme="majorHAnsi" w:cs="Times New Roman"/>
      <w:b/>
      <w:bCs/>
      <w:caps/>
      <w:color w:val="000000" w:themeColor="text1"/>
      <w:sz w:val="96"/>
      <w:szCs w:val="96"/>
      <w14:textOutline w14:w="9525" w14:cap="rnd" w14:cmpd="sng" w14:algn="ctr">
        <w14:noFill/>
        <w14:prstDash w14:val="solid"/>
        <w14:bevel/>
      </w14:textOutline>
    </w:rPr>
  </w:style>
  <w:style w:type="character" w:customStyle="1" w:styleId="Heading8Char">
    <w:name w:val="Heading 8 Char"/>
    <w:basedOn w:val="DefaultParagraphFont"/>
    <w:link w:val="Heading8"/>
    <w:uiPriority w:val="9"/>
    <w:rsid w:val="00851B27"/>
    <w:rPr>
      <w:rFonts w:asciiTheme="majorHAnsi" w:hAnsiTheme="majorHAnsi" w:cs="Arial"/>
      <w:i/>
      <w:caps/>
      <w:color w:val="7B230B" w:themeColor="accent1" w:themeShade="BF"/>
      <w:sz w:val="56"/>
      <w:szCs w:val="36"/>
      <w14:textOutline w14:w="9525" w14:cap="rnd" w14:cmpd="sng" w14:algn="ctr">
        <w14:noFill/>
        <w14:prstDash w14:val="solid"/>
        <w14:bevel/>
      </w14:textOutline>
    </w:rPr>
  </w:style>
  <w:style w:type="paragraph" w:customStyle="1" w:styleId="Images">
    <w:name w:val="Images"/>
    <w:basedOn w:val="Normal"/>
    <w:uiPriority w:val="11"/>
    <w:qFormat/>
    <w:rsid w:val="0024182E"/>
    <w:pPr>
      <w:ind w:firstLine="0"/>
    </w:pPr>
    <w:rPr>
      <w:noProof/>
      <w:sz w:val="22"/>
      <w:szCs w:val="22"/>
    </w:rPr>
  </w:style>
  <w:style w:type="paragraph" w:styleId="Subtitle">
    <w:name w:val="Subtitle"/>
    <w:basedOn w:val="Normal"/>
    <w:next w:val="Normal"/>
    <w:link w:val="SubtitleChar"/>
    <w:uiPriority w:val="11"/>
    <w:semiHidden/>
    <w:rsid w:val="0075685A"/>
    <w:pPr>
      <w:numPr>
        <w:ilvl w:val="1"/>
      </w:numPr>
      <w:spacing w:after="160"/>
      <w:ind w:firstLine="3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9B13C0"/>
    <w:rPr>
      <w:rFonts w:eastAsiaTheme="minorEastAsia"/>
      <w:color w:val="5A5A5A" w:themeColor="text1" w:themeTint="A5"/>
      <w:spacing w:val="15"/>
      <w:sz w:val="22"/>
      <w:szCs w:val="22"/>
    </w:rPr>
  </w:style>
  <w:style w:type="paragraph" w:customStyle="1" w:styleId="Navigation">
    <w:name w:val="Navigation"/>
    <w:basedOn w:val="Normal"/>
    <w:uiPriority w:val="11"/>
    <w:qFormat/>
    <w:rsid w:val="00851B27"/>
    <w:pPr>
      <w:jc w:val="center"/>
    </w:pPr>
    <w:rPr>
      <w:b/>
      <w:caps/>
      <w:color w:val="FFFFFF" w:themeColor="background1"/>
      <w:sz w:val="18"/>
    </w:rPr>
  </w:style>
  <w:style w:type="character" w:customStyle="1" w:styleId="Heading9Char">
    <w:name w:val="Heading 9 Char"/>
    <w:basedOn w:val="DefaultParagraphFont"/>
    <w:link w:val="Heading9"/>
    <w:uiPriority w:val="9"/>
    <w:rsid w:val="000E3D03"/>
    <w:rPr>
      <w:rFonts w:asciiTheme="majorHAnsi" w:eastAsiaTheme="majorEastAsia" w:hAnsiTheme="majorHAnsi" w:cstheme="majorBidi"/>
      <w:iCs/>
      <w:caps/>
      <w:sz w:val="144"/>
      <w:szCs w:val="21"/>
    </w:rPr>
  </w:style>
  <w:style w:type="paragraph" w:customStyle="1" w:styleId="Heading10">
    <w:name w:val="Heading 10"/>
    <w:basedOn w:val="Normal"/>
    <w:next w:val="Normal"/>
    <w:link w:val="Heading10Char"/>
    <w:uiPriority w:val="10"/>
    <w:qFormat/>
    <w:rsid w:val="00CA2061"/>
    <w:pPr>
      <w:ind w:firstLine="0"/>
      <w:jc w:val="center"/>
    </w:pPr>
    <w:rPr>
      <w:rFonts w:asciiTheme="majorHAnsi" w:hAnsiTheme="majorHAnsi"/>
      <w:caps/>
      <w:sz w:val="52"/>
    </w:rPr>
  </w:style>
  <w:style w:type="paragraph" w:customStyle="1" w:styleId="Heading11">
    <w:name w:val="Heading 11"/>
    <w:basedOn w:val="Normal"/>
    <w:link w:val="Heading11Char"/>
    <w:uiPriority w:val="10"/>
    <w:qFormat/>
    <w:rsid w:val="000E3D03"/>
    <w:pPr>
      <w:ind w:firstLine="0"/>
    </w:pPr>
    <w:rPr>
      <w:rFonts w:asciiTheme="majorHAnsi" w:hAnsiTheme="majorHAnsi"/>
      <w:b/>
      <w:i/>
      <w:caps/>
      <w:sz w:val="96"/>
    </w:rPr>
  </w:style>
  <w:style w:type="character" w:customStyle="1" w:styleId="Heading10Char">
    <w:name w:val="Heading 10 Char"/>
    <w:basedOn w:val="DefaultParagraphFont"/>
    <w:link w:val="Heading10"/>
    <w:uiPriority w:val="10"/>
    <w:rsid w:val="00CA2061"/>
    <w:rPr>
      <w:rFonts w:asciiTheme="majorHAnsi" w:hAnsiTheme="majorHAnsi"/>
      <w:caps/>
      <w:sz w:val="52"/>
    </w:rPr>
  </w:style>
  <w:style w:type="paragraph" w:customStyle="1" w:styleId="Heading12">
    <w:name w:val="Heading 12"/>
    <w:basedOn w:val="Normal"/>
    <w:next w:val="Normal"/>
    <w:link w:val="Heading12Char"/>
    <w:uiPriority w:val="10"/>
    <w:qFormat/>
    <w:rsid w:val="000E3D03"/>
    <w:pPr>
      <w:ind w:firstLine="0"/>
    </w:pPr>
    <w:rPr>
      <w:rFonts w:asciiTheme="majorHAnsi" w:hAnsiTheme="majorHAnsi"/>
      <w:i/>
      <w:caps/>
      <w:color w:val="7B230B" w:themeColor="accent1" w:themeShade="BF"/>
      <w:sz w:val="96"/>
    </w:rPr>
  </w:style>
  <w:style w:type="character" w:customStyle="1" w:styleId="Heading11Char">
    <w:name w:val="Heading 11 Char"/>
    <w:basedOn w:val="DefaultParagraphFont"/>
    <w:link w:val="Heading11"/>
    <w:uiPriority w:val="10"/>
    <w:rsid w:val="000E3D03"/>
    <w:rPr>
      <w:rFonts w:asciiTheme="majorHAnsi" w:hAnsiTheme="majorHAnsi"/>
      <w:b/>
      <w:i/>
      <w:caps/>
      <w:sz w:val="96"/>
    </w:rPr>
  </w:style>
  <w:style w:type="paragraph" w:customStyle="1" w:styleId="Titlesmall">
    <w:name w:val="Title small"/>
    <w:basedOn w:val="Normal"/>
    <w:next w:val="Normal"/>
    <w:link w:val="TitlesmallChar"/>
    <w:uiPriority w:val="10"/>
    <w:qFormat/>
    <w:rsid w:val="00313C67"/>
    <w:pPr>
      <w:ind w:firstLine="0"/>
      <w:jc w:val="center"/>
    </w:pPr>
    <w:rPr>
      <w:rFonts w:asciiTheme="majorHAnsi" w:hAnsiTheme="majorHAnsi"/>
      <w:caps/>
      <w:sz w:val="60"/>
    </w:rPr>
  </w:style>
  <w:style w:type="character" w:customStyle="1" w:styleId="Heading12Char">
    <w:name w:val="Heading 12 Char"/>
    <w:basedOn w:val="DefaultParagraphFont"/>
    <w:link w:val="Heading12"/>
    <w:uiPriority w:val="10"/>
    <w:rsid w:val="000E3D03"/>
    <w:rPr>
      <w:rFonts w:asciiTheme="majorHAnsi" w:hAnsiTheme="majorHAnsi"/>
      <w:i/>
      <w:caps/>
      <w:color w:val="7B230B" w:themeColor="accent1" w:themeShade="BF"/>
      <w:sz w:val="96"/>
    </w:rPr>
  </w:style>
  <w:style w:type="character" w:styleId="Emphasis">
    <w:name w:val="Emphasis"/>
    <w:basedOn w:val="DefaultParagraphFont"/>
    <w:uiPriority w:val="20"/>
    <w:qFormat/>
    <w:rsid w:val="008B545E"/>
    <w:rPr>
      <w:b/>
      <w:i w:val="0"/>
      <w:iCs/>
      <w:color w:val="521807" w:themeColor="accent1" w:themeShade="80"/>
    </w:rPr>
  </w:style>
  <w:style w:type="character" w:customStyle="1" w:styleId="TitlesmallChar">
    <w:name w:val="Title small Char"/>
    <w:basedOn w:val="DefaultParagraphFont"/>
    <w:link w:val="Titlesmall"/>
    <w:uiPriority w:val="10"/>
    <w:rsid w:val="00FD3A7D"/>
    <w:rPr>
      <w:rFonts w:asciiTheme="majorHAnsi" w:hAnsiTheme="majorHAnsi"/>
      <w:caps/>
      <w:sz w:val="60"/>
    </w:rPr>
  </w:style>
  <w:style w:type="paragraph" w:customStyle="1" w:styleId="Normallight">
    <w:name w:val="Normal light"/>
    <w:basedOn w:val="Normal"/>
    <w:link w:val="NormallightChar"/>
    <w:qFormat/>
    <w:rsid w:val="00851B27"/>
    <w:rPr>
      <w:color w:val="FFFFFF" w:themeColor="background1"/>
    </w:rPr>
  </w:style>
  <w:style w:type="character" w:customStyle="1" w:styleId="NormallightChar">
    <w:name w:val="Normal light Char"/>
    <w:basedOn w:val="DefaultParagraphFont"/>
    <w:link w:val="Normallight"/>
    <w:rsid w:val="00851B27"/>
    <w:rPr>
      <w:color w:val="FFFFFF" w:themeColor="background1"/>
    </w:rPr>
  </w:style>
  <w:style w:type="paragraph" w:styleId="ListParagraph">
    <w:name w:val="List Paragraph"/>
    <w:basedOn w:val="Normal"/>
    <w:uiPriority w:val="34"/>
    <w:qFormat/>
    <w:rsid w:val="005517C6"/>
    <w:pPr>
      <w:ind w:left="720"/>
      <w:contextualSpacing/>
    </w:pPr>
  </w:style>
  <w:style w:type="table" w:styleId="GridTable3-Accent2">
    <w:name w:val="Grid Table 3 Accent 2"/>
    <w:basedOn w:val="TableNormal"/>
    <w:uiPriority w:val="48"/>
    <w:rsid w:val="00026B38"/>
    <w:tblPr>
      <w:tblStyleRowBandSize w:val="1"/>
      <w:tblStyleColBandSize w:val="1"/>
      <w:tblBorders>
        <w:top w:val="single" w:sz="4" w:space="0" w:color="092DFF" w:themeColor="accent2" w:themeTint="99"/>
        <w:left w:val="single" w:sz="4" w:space="0" w:color="092DFF" w:themeColor="accent2" w:themeTint="99"/>
        <w:bottom w:val="single" w:sz="4" w:space="0" w:color="092DFF" w:themeColor="accent2" w:themeTint="99"/>
        <w:right w:val="single" w:sz="4" w:space="0" w:color="092DFF" w:themeColor="accent2" w:themeTint="99"/>
        <w:insideH w:val="single" w:sz="4" w:space="0" w:color="092DFF" w:themeColor="accent2" w:themeTint="99"/>
        <w:insideV w:val="single" w:sz="4" w:space="0" w:color="092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B9FF" w:themeFill="accent2" w:themeFillTint="33"/>
      </w:tcPr>
    </w:tblStylePr>
    <w:tblStylePr w:type="band1Horz">
      <w:tblPr/>
      <w:tcPr>
        <w:shd w:val="clear" w:color="auto" w:fill="ADB9FF" w:themeFill="accent2" w:themeFillTint="33"/>
      </w:tcPr>
    </w:tblStylePr>
    <w:tblStylePr w:type="neCell">
      <w:tblPr/>
      <w:tcPr>
        <w:tcBorders>
          <w:bottom w:val="single" w:sz="4" w:space="0" w:color="092DFF" w:themeColor="accent2" w:themeTint="99"/>
        </w:tcBorders>
      </w:tcPr>
    </w:tblStylePr>
    <w:tblStylePr w:type="nwCell">
      <w:tblPr/>
      <w:tcPr>
        <w:tcBorders>
          <w:bottom w:val="single" w:sz="4" w:space="0" w:color="092DFF" w:themeColor="accent2" w:themeTint="99"/>
        </w:tcBorders>
      </w:tcPr>
    </w:tblStylePr>
    <w:tblStylePr w:type="seCell">
      <w:tblPr/>
      <w:tcPr>
        <w:tcBorders>
          <w:top w:val="single" w:sz="4" w:space="0" w:color="092DFF" w:themeColor="accent2" w:themeTint="99"/>
        </w:tcBorders>
      </w:tcPr>
    </w:tblStylePr>
    <w:tblStylePr w:type="swCell">
      <w:tblPr/>
      <w:tcPr>
        <w:tcBorders>
          <w:top w:val="single" w:sz="4" w:space="0" w:color="092DFF" w:themeColor="accent2" w:themeTint="99"/>
        </w:tcBorders>
      </w:tcPr>
    </w:tblStylePr>
  </w:style>
  <w:style w:type="paragraph" w:styleId="FootnoteText">
    <w:name w:val="footnote text"/>
    <w:basedOn w:val="Normal"/>
    <w:link w:val="FootnoteTextChar"/>
    <w:uiPriority w:val="99"/>
    <w:unhideWhenUsed/>
    <w:rsid w:val="00026B38"/>
    <w:rPr>
      <w:sz w:val="20"/>
      <w:szCs w:val="20"/>
    </w:rPr>
  </w:style>
  <w:style w:type="character" w:customStyle="1" w:styleId="FootnoteTextChar">
    <w:name w:val="Footnote Text Char"/>
    <w:basedOn w:val="DefaultParagraphFont"/>
    <w:link w:val="FootnoteText"/>
    <w:uiPriority w:val="99"/>
    <w:rsid w:val="00026B38"/>
    <w:rPr>
      <w:sz w:val="20"/>
      <w:szCs w:val="20"/>
    </w:rPr>
  </w:style>
  <w:style w:type="character" w:styleId="FootnoteReference">
    <w:name w:val="footnote reference"/>
    <w:basedOn w:val="DefaultParagraphFont"/>
    <w:uiPriority w:val="99"/>
    <w:semiHidden/>
    <w:unhideWhenUsed/>
    <w:rsid w:val="00026B38"/>
    <w:rPr>
      <w:vertAlign w:val="superscript"/>
    </w:rPr>
  </w:style>
  <w:style w:type="paragraph" w:styleId="BalloonText">
    <w:name w:val="Balloon Text"/>
    <w:basedOn w:val="Normal"/>
    <w:link w:val="BalloonTextChar"/>
    <w:uiPriority w:val="99"/>
    <w:semiHidden/>
    <w:unhideWhenUsed/>
    <w:rsid w:val="00532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1B"/>
    <w:rPr>
      <w:rFonts w:ascii="Segoe UI" w:hAnsi="Segoe UI" w:cs="Segoe UI"/>
      <w:sz w:val="18"/>
      <w:szCs w:val="18"/>
    </w:rPr>
  </w:style>
  <w:style w:type="character" w:styleId="CommentReference">
    <w:name w:val="annotation reference"/>
    <w:basedOn w:val="DefaultParagraphFont"/>
    <w:uiPriority w:val="99"/>
    <w:semiHidden/>
    <w:unhideWhenUsed/>
    <w:rsid w:val="00045CDD"/>
    <w:rPr>
      <w:sz w:val="16"/>
      <w:szCs w:val="16"/>
    </w:rPr>
  </w:style>
  <w:style w:type="paragraph" w:styleId="CommentText">
    <w:name w:val="annotation text"/>
    <w:basedOn w:val="Normal"/>
    <w:link w:val="CommentTextChar"/>
    <w:uiPriority w:val="99"/>
    <w:unhideWhenUsed/>
    <w:rsid w:val="00045CDD"/>
    <w:rPr>
      <w:sz w:val="20"/>
      <w:szCs w:val="20"/>
    </w:rPr>
  </w:style>
  <w:style w:type="character" w:customStyle="1" w:styleId="CommentTextChar">
    <w:name w:val="Comment Text Char"/>
    <w:basedOn w:val="DefaultParagraphFont"/>
    <w:link w:val="CommentText"/>
    <w:uiPriority w:val="99"/>
    <w:rsid w:val="00045CDD"/>
    <w:rPr>
      <w:sz w:val="20"/>
      <w:szCs w:val="20"/>
    </w:rPr>
  </w:style>
  <w:style w:type="paragraph" w:styleId="CommentSubject">
    <w:name w:val="annotation subject"/>
    <w:basedOn w:val="CommentText"/>
    <w:next w:val="CommentText"/>
    <w:link w:val="CommentSubjectChar"/>
    <w:uiPriority w:val="99"/>
    <w:semiHidden/>
    <w:unhideWhenUsed/>
    <w:rsid w:val="00045CDD"/>
    <w:rPr>
      <w:b/>
      <w:bCs/>
    </w:rPr>
  </w:style>
  <w:style w:type="character" w:customStyle="1" w:styleId="CommentSubjectChar">
    <w:name w:val="Comment Subject Char"/>
    <w:basedOn w:val="CommentTextChar"/>
    <w:link w:val="CommentSubject"/>
    <w:uiPriority w:val="99"/>
    <w:semiHidden/>
    <w:rsid w:val="00045CDD"/>
    <w:rPr>
      <w:b/>
      <w:bCs/>
      <w:sz w:val="20"/>
      <w:szCs w:val="20"/>
    </w:rPr>
  </w:style>
  <w:style w:type="paragraph" w:styleId="NoSpacing">
    <w:name w:val="No Spacing"/>
    <w:link w:val="NoSpacingChar"/>
    <w:uiPriority w:val="1"/>
    <w:qFormat/>
    <w:rsid w:val="00EF5FB4"/>
    <w:rPr>
      <w:rFonts w:eastAsiaTheme="minorEastAsia"/>
      <w:sz w:val="22"/>
      <w:szCs w:val="22"/>
    </w:rPr>
  </w:style>
  <w:style w:type="character" w:customStyle="1" w:styleId="NoSpacingChar">
    <w:name w:val="No Spacing Char"/>
    <w:basedOn w:val="DefaultParagraphFont"/>
    <w:link w:val="NoSpacing"/>
    <w:uiPriority w:val="1"/>
    <w:rsid w:val="00EF5FB4"/>
    <w:rPr>
      <w:rFonts w:eastAsiaTheme="minorEastAsia"/>
      <w:sz w:val="22"/>
      <w:szCs w:val="22"/>
    </w:rPr>
  </w:style>
  <w:style w:type="table" w:styleId="GridTable5Dark-Accent2">
    <w:name w:val="Grid Table 5 Dark Accent 2"/>
    <w:basedOn w:val="TableNormal"/>
    <w:uiPriority w:val="50"/>
    <w:rsid w:val="002776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B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F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F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F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F64" w:themeFill="accent2"/>
      </w:tcPr>
    </w:tblStylePr>
    <w:tblStylePr w:type="band1Vert">
      <w:tblPr/>
      <w:tcPr>
        <w:shd w:val="clear" w:color="auto" w:fill="5B73FF" w:themeFill="accent2" w:themeFillTint="66"/>
      </w:tcPr>
    </w:tblStylePr>
    <w:tblStylePr w:type="band1Horz">
      <w:tblPr/>
      <w:tcPr>
        <w:shd w:val="clear" w:color="auto" w:fill="5B73FF" w:themeFill="accent2" w:themeFillTint="66"/>
      </w:tcPr>
    </w:tblStylePr>
  </w:style>
  <w:style w:type="table" w:styleId="GridTable5Dark-Accent3">
    <w:name w:val="Grid Table 5 Dark Accent 3"/>
    <w:basedOn w:val="TableNormal"/>
    <w:uiPriority w:val="50"/>
    <w:rsid w:val="004F7A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A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982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982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982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9825" w:themeFill="accent3"/>
      </w:tcPr>
    </w:tblStylePr>
    <w:tblStylePr w:type="band1Vert">
      <w:tblPr/>
      <w:tcPr>
        <w:shd w:val="clear" w:color="auto" w:fill="F3D5A7" w:themeFill="accent3" w:themeFillTint="66"/>
      </w:tcPr>
    </w:tblStylePr>
    <w:tblStylePr w:type="band1Horz">
      <w:tblPr/>
      <w:tcPr>
        <w:shd w:val="clear" w:color="auto" w:fill="F3D5A7" w:themeFill="accent3" w:themeFillTint="66"/>
      </w:tcPr>
    </w:tblStylePr>
  </w:style>
  <w:style w:type="table" w:styleId="GridTable5Dark-Accent4">
    <w:name w:val="Grid Table 5 Dark Accent 4"/>
    <w:basedOn w:val="TableNormal"/>
    <w:uiPriority w:val="50"/>
    <w:rsid w:val="004F7A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B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9C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9C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9C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9C7D" w:themeFill="accent4"/>
      </w:tcPr>
    </w:tblStylePr>
    <w:tblStylePr w:type="band1Vert">
      <w:tblPr/>
      <w:tcPr>
        <w:shd w:val="clear" w:color="auto" w:fill="DFD7CA" w:themeFill="accent4" w:themeFillTint="66"/>
      </w:tcPr>
    </w:tblStylePr>
    <w:tblStylePr w:type="band1Horz">
      <w:tblPr/>
      <w:tcPr>
        <w:shd w:val="clear" w:color="auto" w:fill="DFD7CA" w:themeFill="accent4" w:themeFillTint="66"/>
      </w:tcPr>
    </w:tblStylePr>
  </w:style>
  <w:style w:type="table" w:styleId="GridTable1Light-Accent4">
    <w:name w:val="Grid Table 1 Light Accent 4"/>
    <w:basedOn w:val="TableNormal"/>
    <w:uiPriority w:val="46"/>
    <w:rsid w:val="004F7A14"/>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4F7A14"/>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color w:val="FFFFFF" w:themeColor="background1"/>
      </w:rPr>
      <w:tblPr/>
      <w:tcPr>
        <w:tcBorders>
          <w:top w:val="single" w:sz="4" w:space="0" w:color="B19C7D" w:themeColor="accent4"/>
          <w:left w:val="single" w:sz="4" w:space="0" w:color="B19C7D" w:themeColor="accent4"/>
          <w:bottom w:val="single" w:sz="4" w:space="0" w:color="B19C7D" w:themeColor="accent4"/>
          <w:right w:val="single" w:sz="4" w:space="0" w:color="B19C7D" w:themeColor="accent4"/>
          <w:insideH w:val="nil"/>
          <w:insideV w:val="nil"/>
        </w:tcBorders>
        <w:shd w:val="clear" w:color="auto" w:fill="B19C7D" w:themeFill="accent4"/>
      </w:tcPr>
    </w:tblStylePr>
    <w:tblStylePr w:type="lastRow">
      <w:rPr>
        <w:b/>
        <w:bCs/>
      </w:rPr>
      <w:tblPr/>
      <w:tcPr>
        <w:tcBorders>
          <w:top w:val="double" w:sz="4" w:space="0" w:color="B19C7D" w:themeColor="accent4"/>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1Light">
    <w:name w:val="Grid Table 1 Light"/>
    <w:basedOn w:val="TableNormal"/>
    <w:uiPriority w:val="46"/>
    <w:rsid w:val="004F7A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E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913">
      <w:bodyDiv w:val="1"/>
      <w:marLeft w:val="0"/>
      <w:marRight w:val="0"/>
      <w:marTop w:val="0"/>
      <w:marBottom w:val="0"/>
      <w:divBdr>
        <w:top w:val="none" w:sz="0" w:space="0" w:color="auto"/>
        <w:left w:val="none" w:sz="0" w:space="0" w:color="auto"/>
        <w:bottom w:val="none" w:sz="0" w:space="0" w:color="auto"/>
        <w:right w:val="none" w:sz="0" w:space="0" w:color="auto"/>
      </w:divBdr>
    </w:div>
    <w:div w:id="18434903">
      <w:bodyDiv w:val="1"/>
      <w:marLeft w:val="0"/>
      <w:marRight w:val="0"/>
      <w:marTop w:val="0"/>
      <w:marBottom w:val="0"/>
      <w:divBdr>
        <w:top w:val="none" w:sz="0" w:space="0" w:color="auto"/>
        <w:left w:val="none" w:sz="0" w:space="0" w:color="auto"/>
        <w:bottom w:val="none" w:sz="0" w:space="0" w:color="auto"/>
        <w:right w:val="none" w:sz="0" w:space="0" w:color="auto"/>
      </w:divBdr>
    </w:div>
    <w:div w:id="172451505">
      <w:bodyDiv w:val="1"/>
      <w:marLeft w:val="0"/>
      <w:marRight w:val="0"/>
      <w:marTop w:val="0"/>
      <w:marBottom w:val="0"/>
      <w:divBdr>
        <w:top w:val="none" w:sz="0" w:space="0" w:color="auto"/>
        <w:left w:val="none" w:sz="0" w:space="0" w:color="auto"/>
        <w:bottom w:val="none" w:sz="0" w:space="0" w:color="auto"/>
        <w:right w:val="none" w:sz="0" w:space="0" w:color="auto"/>
      </w:divBdr>
    </w:div>
    <w:div w:id="178548940">
      <w:bodyDiv w:val="1"/>
      <w:marLeft w:val="0"/>
      <w:marRight w:val="0"/>
      <w:marTop w:val="0"/>
      <w:marBottom w:val="0"/>
      <w:divBdr>
        <w:top w:val="none" w:sz="0" w:space="0" w:color="auto"/>
        <w:left w:val="none" w:sz="0" w:space="0" w:color="auto"/>
        <w:bottom w:val="none" w:sz="0" w:space="0" w:color="auto"/>
        <w:right w:val="none" w:sz="0" w:space="0" w:color="auto"/>
      </w:divBdr>
    </w:div>
    <w:div w:id="208808636">
      <w:bodyDiv w:val="1"/>
      <w:marLeft w:val="0"/>
      <w:marRight w:val="0"/>
      <w:marTop w:val="0"/>
      <w:marBottom w:val="0"/>
      <w:divBdr>
        <w:top w:val="none" w:sz="0" w:space="0" w:color="auto"/>
        <w:left w:val="none" w:sz="0" w:space="0" w:color="auto"/>
        <w:bottom w:val="none" w:sz="0" w:space="0" w:color="auto"/>
        <w:right w:val="none" w:sz="0" w:space="0" w:color="auto"/>
      </w:divBdr>
    </w:div>
    <w:div w:id="247621184">
      <w:bodyDiv w:val="1"/>
      <w:marLeft w:val="0"/>
      <w:marRight w:val="0"/>
      <w:marTop w:val="0"/>
      <w:marBottom w:val="0"/>
      <w:divBdr>
        <w:top w:val="none" w:sz="0" w:space="0" w:color="auto"/>
        <w:left w:val="none" w:sz="0" w:space="0" w:color="auto"/>
        <w:bottom w:val="none" w:sz="0" w:space="0" w:color="auto"/>
        <w:right w:val="none" w:sz="0" w:space="0" w:color="auto"/>
      </w:divBdr>
    </w:div>
    <w:div w:id="306250261">
      <w:bodyDiv w:val="1"/>
      <w:marLeft w:val="0"/>
      <w:marRight w:val="0"/>
      <w:marTop w:val="0"/>
      <w:marBottom w:val="0"/>
      <w:divBdr>
        <w:top w:val="none" w:sz="0" w:space="0" w:color="auto"/>
        <w:left w:val="none" w:sz="0" w:space="0" w:color="auto"/>
        <w:bottom w:val="none" w:sz="0" w:space="0" w:color="auto"/>
        <w:right w:val="none" w:sz="0" w:space="0" w:color="auto"/>
      </w:divBdr>
    </w:div>
    <w:div w:id="337464542">
      <w:bodyDiv w:val="1"/>
      <w:marLeft w:val="0"/>
      <w:marRight w:val="0"/>
      <w:marTop w:val="0"/>
      <w:marBottom w:val="0"/>
      <w:divBdr>
        <w:top w:val="none" w:sz="0" w:space="0" w:color="auto"/>
        <w:left w:val="none" w:sz="0" w:space="0" w:color="auto"/>
        <w:bottom w:val="none" w:sz="0" w:space="0" w:color="auto"/>
        <w:right w:val="none" w:sz="0" w:space="0" w:color="auto"/>
      </w:divBdr>
    </w:div>
    <w:div w:id="351341627">
      <w:bodyDiv w:val="1"/>
      <w:marLeft w:val="0"/>
      <w:marRight w:val="0"/>
      <w:marTop w:val="0"/>
      <w:marBottom w:val="0"/>
      <w:divBdr>
        <w:top w:val="none" w:sz="0" w:space="0" w:color="auto"/>
        <w:left w:val="none" w:sz="0" w:space="0" w:color="auto"/>
        <w:bottom w:val="none" w:sz="0" w:space="0" w:color="auto"/>
        <w:right w:val="none" w:sz="0" w:space="0" w:color="auto"/>
      </w:divBdr>
    </w:div>
    <w:div w:id="387189166">
      <w:bodyDiv w:val="1"/>
      <w:marLeft w:val="0"/>
      <w:marRight w:val="0"/>
      <w:marTop w:val="0"/>
      <w:marBottom w:val="0"/>
      <w:divBdr>
        <w:top w:val="none" w:sz="0" w:space="0" w:color="auto"/>
        <w:left w:val="none" w:sz="0" w:space="0" w:color="auto"/>
        <w:bottom w:val="none" w:sz="0" w:space="0" w:color="auto"/>
        <w:right w:val="none" w:sz="0" w:space="0" w:color="auto"/>
      </w:divBdr>
    </w:div>
    <w:div w:id="391466346">
      <w:bodyDiv w:val="1"/>
      <w:marLeft w:val="0"/>
      <w:marRight w:val="0"/>
      <w:marTop w:val="0"/>
      <w:marBottom w:val="0"/>
      <w:divBdr>
        <w:top w:val="none" w:sz="0" w:space="0" w:color="auto"/>
        <w:left w:val="none" w:sz="0" w:space="0" w:color="auto"/>
        <w:bottom w:val="none" w:sz="0" w:space="0" w:color="auto"/>
        <w:right w:val="none" w:sz="0" w:space="0" w:color="auto"/>
      </w:divBdr>
    </w:div>
    <w:div w:id="416482378">
      <w:bodyDiv w:val="1"/>
      <w:marLeft w:val="0"/>
      <w:marRight w:val="0"/>
      <w:marTop w:val="0"/>
      <w:marBottom w:val="0"/>
      <w:divBdr>
        <w:top w:val="none" w:sz="0" w:space="0" w:color="auto"/>
        <w:left w:val="none" w:sz="0" w:space="0" w:color="auto"/>
        <w:bottom w:val="none" w:sz="0" w:space="0" w:color="auto"/>
        <w:right w:val="none" w:sz="0" w:space="0" w:color="auto"/>
      </w:divBdr>
    </w:div>
    <w:div w:id="442313262">
      <w:bodyDiv w:val="1"/>
      <w:marLeft w:val="0"/>
      <w:marRight w:val="0"/>
      <w:marTop w:val="0"/>
      <w:marBottom w:val="0"/>
      <w:divBdr>
        <w:top w:val="none" w:sz="0" w:space="0" w:color="auto"/>
        <w:left w:val="none" w:sz="0" w:space="0" w:color="auto"/>
        <w:bottom w:val="none" w:sz="0" w:space="0" w:color="auto"/>
        <w:right w:val="none" w:sz="0" w:space="0" w:color="auto"/>
      </w:divBdr>
    </w:div>
    <w:div w:id="474369711">
      <w:bodyDiv w:val="1"/>
      <w:marLeft w:val="0"/>
      <w:marRight w:val="0"/>
      <w:marTop w:val="0"/>
      <w:marBottom w:val="0"/>
      <w:divBdr>
        <w:top w:val="none" w:sz="0" w:space="0" w:color="auto"/>
        <w:left w:val="none" w:sz="0" w:space="0" w:color="auto"/>
        <w:bottom w:val="none" w:sz="0" w:space="0" w:color="auto"/>
        <w:right w:val="none" w:sz="0" w:space="0" w:color="auto"/>
      </w:divBdr>
    </w:div>
    <w:div w:id="497696602">
      <w:bodyDiv w:val="1"/>
      <w:marLeft w:val="0"/>
      <w:marRight w:val="0"/>
      <w:marTop w:val="0"/>
      <w:marBottom w:val="0"/>
      <w:divBdr>
        <w:top w:val="none" w:sz="0" w:space="0" w:color="auto"/>
        <w:left w:val="none" w:sz="0" w:space="0" w:color="auto"/>
        <w:bottom w:val="none" w:sz="0" w:space="0" w:color="auto"/>
        <w:right w:val="none" w:sz="0" w:space="0" w:color="auto"/>
      </w:divBdr>
    </w:div>
    <w:div w:id="578366242">
      <w:bodyDiv w:val="1"/>
      <w:marLeft w:val="0"/>
      <w:marRight w:val="0"/>
      <w:marTop w:val="0"/>
      <w:marBottom w:val="0"/>
      <w:divBdr>
        <w:top w:val="none" w:sz="0" w:space="0" w:color="auto"/>
        <w:left w:val="none" w:sz="0" w:space="0" w:color="auto"/>
        <w:bottom w:val="none" w:sz="0" w:space="0" w:color="auto"/>
        <w:right w:val="none" w:sz="0" w:space="0" w:color="auto"/>
      </w:divBdr>
    </w:div>
    <w:div w:id="659623531">
      <w:bodyDiv w:val="1"/>
      <w:marLeft w:val="0"/>
      <w:marRight w:val="0"/>
      <w:marTop w:val="0"/>
      <w:marBottom w:val="0"/>
      <w:divBdr>
        <w:top w:val="none" w:sz="0" w:space="0" w:color="auto"/>
        <w:left w:val="none" w:sz="0" w:space="0" w:color="auto"/>
        <w:bottom w:val="none" w:sz="0" w:space="0" w:color="auto"/>
        <w:right w:val="none" w:sz="0" w:space="0" w:color="auto"/>
      </w:divBdr>
    </w:div>
    <w:div w:id="667903910">
      <w:bodyDiv w:val="1"/>
      <w:marLeft w:val="0"/>
      <w:marRight w:val="0"/>
      <w:marTop w:val="0"/>
      <w:marBottom w:val="0"/>
      <w:divBdr>
        <w:top w:val="none" w:sz="0" w:space="0" w:color="auto"/>
        <w:left w:val="none" w:sz="0" w:space="0" w:color="auto"/>
        <w:bottom w:val="none" w:sz="0" w:space="0" w:color="auto"/>
        <w:right w:val="none" w:sz="0" w:space="0" w:color="auto"/>
      </w:divBdr>
    </w:div>
    <w:div w:id="689719661">
      <w:bodyDiv w:val="1"/>
      <w:marLeft w:val="0"/>
      <w:marRight w:val="0"/>
      <w:marTop w:val="0"/>
      <w:marBottom w:val="0"/>
      <w:divBdr>
        <w:top w:val="none" w:sz="0" w:space="0" w:color="auto"/>
        <w:left w:val="none" w:sz="0" w:space="0" w:color="auto"/>
        <w:bottom w:val="none" w:sz="0" w:space="0" w:color="auto"/>
        <w:right w:val="none" w:sz="0" w:space="0" w:color="auto"/>
      </w:divBdr>
    </w:div>
    <w:div w:id="691762584">
      <w:bodyDiv w:val="1"/>
      <w:marLeft w:val="0"/>
      <w:marRight w:val="0"/>
      <w:marTop w:val="0"/>
      <w:marBottom w:val="0"/>
      <w:divBdr>
        <w:top w:val="none" w:sz="0" w:space="0" w:color="auto"/>
        <w:left w:val="none" w:sz="0" w:space="0" w:color="auto"/>
        <w:bottom w:val="none" w:sz="0" w:space="0" w:color="auto"/>
        <w:right w:val="none" w:sz="0" w:space="0" w:color="auto"/>
      </w:divBdr>
    </w:div>
    <w:div w:id="761531503">
      <w:bodyDiv w:val="1"/>
      <w:marLeft w:val="0"/>
      <w:marRight w:val="0"/>
      <w:marTop w:val="0"/>
      <w:marBottom w:val="0"/>
      <w:divBdr>
        <w:top w:val="none" w:sz="0" w:space="0" w:color="auto"/>
        <w:left w:val="none" w:sz="0" w:space="0" w:color="auto"/>
        <w:bottom w:val="none" w:sz="0" w:space="0" w:color="auto"/>
        <w:right w:val="none" w:sz="0" w:space="0" w:color="auto"/>
      </w:divBdr>
    </w:div>
    <w:div w:id="859200944">
      <w:bodyDiv w:val="1"/>
      <w:marLeft w:val="0"/>
      <w:marRight w:val="0"/>
      <w:marTop w:val="0"/>
      <w:marBottom w:val="0"/>
      <w:divBdr>
        <w:top w:val="none" w:sz="0" w:space="0" w:color="auto"/>
        <w:left w:val="none" w:sz="0" w:space="0" w:color="auto"/>
        <w:bottom w:val="none" w:sz="0" w:space="0" w:color="auto"/>
        <w:right w:val="none" w:sz="0" w:space="0" w:color="auto"/>
      </w:divBdr>
    </w:div>
    <w:div w:id="921838479">
      <w:bodyDiv w:val="1"/>
      <w:marLeft w:val="0"/>
      <w:marRight w:val="0"/>
      <w:marTop w:val="0"/>
      <w:marBottom w:val="0"/>
      <w:divBdr>
        <w:top w:val="none" w:sz="0" w:space="0" w:color="auto"/>
        <w:left w:val="none" w:sz="0" w:space="0" w:color="auto"/>
        <w:bottom w:val="none" w:sz="0" w:space="0" w:color="auto"/>
        <w:right w:val="none" w:sz="0" w:space="0" w:color="auto"/>
      </w:divBdr>
    </w:div>
    <w:div w:id="1014961398">
      <w:bodyDiv w:val="1"/>
      <w:marLeft w:val="0"/>
      <w:marRight w:val="0"/>
      <w:marTop w:val="0"/>
      <w:marBottom w:val="0"/>
      <w:divBdr>
        <w:top w:val="none" w:sz="0" w:space="0" w:color="auto"/>
        <w:left w:val="none" w:sz="0" w:space="0" w:color="auto"/>
        <w:bottom w:val="none" w:sz="0" w:space="0" w:color="auto"/>
        <w:right w:val="none" w:sz="0" w:space="0" w:color="auto"/>
      </w:divBdr>
    </w:div>
    <w:div w:id="1026053833">
      <w:bodyDiv w:val="1"/>
      <w:marLeft w:val="0"/>
      <w:marRight w:val="0"/>
      <w:marTop w:val="0"/>
      <w:marBottom w:val="0"/>
      <w:divBdr>
        <w:top w:val="none" w:sz="0" w:space="0" w:color="auto"/>
        <w:left w:val="none" w:sz="0" w:space="0" w:color="auto"/>
        <w:bottom w:val="none" w:sz="0" w:space="0" w:color="auto"/>
        <w:right w:val="none" w:sz="0" w:space="0" w:color="auto"/>
      </w:divBdr>
    </w:div>
    <w:div w:id="1035738705">
      <w:bodyDiv w:val="1"/>
      <w:marLeft w:val="0"/>
      <w:marRight w:val="0"/>
      <w:marTop w:val="0"/>
      <w:marBottom w:val="0"/>
      <w:divBdr>
        <w:top w:val="none" w:sz="0" w:space="0" w:color="auto"/>
        <w:left w:val="none" w:sz="0" w:space="0" w:color="auto"/>
        <w:bottom w:val="none" w:sz="0" w:space="0" w:color="auto"/>
        <w:right w:val="none" w:sz="0" w:space="0" w:color="auto"/>
      </w:divBdr>
    </w:div>
    <w:div w:id="1093084867">
      <w:bodyDiv w:val="1"/>
      <w:marLeft w:val="0"/>
      <w:marRight w:val="0"/>
      <w:marTop w:val="0"/>
      <w:marBottom w:val="0"/>
      <w:divBdr>
        <w:top w:val="none" w:sz="0" w:space="0" w:color="auto"/>
        <w:left w:val="none" w:sz="0" w:space="0" w:color="auto"/>
        <w:bottom w:val="none" w:sz="0" w:space="0" w:color="auto"/>
        <w:right w:val="none" w:sz="0" w:space="0" w:color="auto"/>
      </w:divBdr>
    </w:div>
    <w:div w:id="1107045175">
      <w:bodyDiv w:val="1"/>
      <w:marLeft w:val="0"/>
      <w:marRight w:val="0"/>
      <w:marTop w:val="0"/>
      <w:marBottom w:val="0"/>
      <w:divBdr>
        <w:top w:val="none" w:sz="0" w:space="0" w:color="auto"/>
        <w:left w:val="none" w:sz="0" w:space="0" w:color="auto"/>
        <w:bottom w:val="none" w:sz="0" w:space="0" w:color="auto"/>
        <w:right w:val="none" w:sz="0" w:space="0" w:color="auto"/>
      </w:divBdr>
    </w:div>
    <w:div w:id="1164469275">
      <w:bodyDiv w:val="1"/>
      <w:marLeft w:val="0"/>
      <w:marRight w:val="0"/>
      <w:marTop w:val="0"/>
      <w:marBottom w:val="0"/>
      <w:divBdr>
        <w:top w:val="none" w:sz="0" w:space="0" w:color="auto"/>
        <w:left w:val="none" w:sz="0" w:space="0" w:color="auto"/>
        <w:bottom w:val="none" w:sz="0" w:space="0" w:color="auto"/>
        <w:right w:val="none" w:sz="0" w:space="0" w:color="auto"/>
      </w:divBdr>
    </w:div>
    <w:div w:id="1232277047">
      <w:bodyDiv w:val="1"/>
      <w:marLeft w:val="0"/>
      <w:marRight w:val="0"/>
      <w:marTop w:val="0"/>
      <w:marBottom w:val="0"/>
      <w:divBdr>
        <w:top w:val="none" w:sz="0" w:space="0" w:color="auto"/>
        <w:left w:val="none" w:sz="0" w:space="0" w:color="auto"/>
        <w:bottom w:val="none" w:sz="0" w:space="0" w:color="auto"/>
        <w:right w:val="none" w:sz="0" w:space="0" w:color="auto"/>
      </w:divBdr>
    </w:div>
    <w:div w:id="1238319624">
      <w:bodyDiv w:val="1"/>
      <w:marLeft w:val="0"/>
      <w:marRight w:val="0"/>
      <w:marTop w:val="0"/>
      <w:marBottom w:val="0"/>
      <w:divBdr>
        <w:top w:val="none" w:sz="0" w:space="0" w:color="auto"/>
        <w:left w:val="none" w:sz="0" w:space="0" w:color="auto"/>
        <w:bottom w:val="none" w:sz="0" w:space="0" w:color="auto"/>
        <w:right w:val="none" w:sz="0" w:space="0" w:color="auto"/>
      </w:divBdr>
    </w:div>
    <w:div w:id="1348099282">
      <w:bodyDiv w:val="1"/>
      <w:marLeft w:val="0"/>
      <w:marRight w:val="0"/>
      <w:marTop w:val="0"/>
      <w:marBottom w:val="0"/>
      <w:divBdr>
        <w:top w:val="none" w:sz="0" w:space="0" w:color="auto"/>
        <w:left w:val="none" w:sz="0" w:space="0" w:color="auto"/>
        <w:bottom w:val="none" w:sz="0" w:space="0" w:color="auto"/>
        <w:right w:val="none" w:sz="0" w:space="0" w:color="auto"/>
      </w:divBdr>
    </w:div>
    <w:div w:id="1508329987">
      <w:bodyDiv w:val="1"/>
      <w:marLeft w:val="0"/>
      <w:marRight w:val="0"/>
      <w:marTop w:val="0"/>
      <w:marBottom w:val="0"/>
      <w:divBdr>
        <w:top w:val="none" w:sz="0" w:space="0" w:color="auto"/>
        <w:left w:val="none" w:sz="0" w:space="0" w:color="auto"/>
        <w:bottom w:val="none" w:sz="0" w:space="0" w:color="auto"/>
        <w:right w:val="none" w:sz="0" w:space="0" w:color="auto"/>
      </w:divBdr>
    </w:div>
    <w:div w:id="1514800332">
      <w:bodyDiv w:val="1"/>
      <w:marLeft w:val="0"/>
      <w:marRight w:val="0"/>
      <w:marTop w:val="0"/>
      <w:marBottom w:val="0"/>
      <w:divBdr>
        <w:top w:val="none" w:sz="0" w:space="0" w:color="auto"/>
        <w:left w:val="none" w:sz="0" w:space="0" w:color="auto"/>
        <w:bottom w:val="none" w:sz="0" w:space="0" w:color="auto"/>
        <w:right w:val="none" w:sz="0" w:space="0" w:color="auto"/>
      </w:divBdr>
    </w:div>
    <w:div w:id="1547372582">
      <w:bodyDiv w:val="1"/>
      <w:marLeft w:val="0"/>
      <w:marRight w:val="0"/>
      <w:marTop w:val="0"/>
      <w:marBottom w:val="0"/>
      <w:divBdr>
        <w:top w:val="none" w:sz="0" w:space="0" w:color="auto"/>
        <w:left w:val="none" w:sz="0" w:space="0" w:color="auto"/>
        <w:bottom w:val="none" w:sz="0" w:space="0" w:color="auto"/>
        <w:right w:val="none" w:sz="0" w:space="0" w:color="auto"/>
      </w:divBdr>
    </w:div>
    <w:div w:id="1569730153">
      <w:bodyDiv w:val="1"/>
      <w:marLeft w:val="0"/>
      <w:marRight w:val="0"/>
      <w:marTop w:val="0"/>
      <w:marBottom w:val="0"/>
      <w:divBdr>
        <w:top w:val="none" w:sz="0" w:space="0" w:color="auto"/>
        <w:left w:val="none" w:sz="0" w:space="0" w:color="auto"/>
        <w:bottom w:val="none" w:sz="0" w:space="0" w:color="auto"/>
        <w:right w:val="none" w:sz="0" w:space="0" w:color="auto"/>
      </w:divBdr>
    </w:div>
    <w:div w:id="1619292879">
      <w:bodyDiv w:val="1"/>
      <w:marLeft w:val="0"/>
      <w:marRight w:val="0"/>
      <w:marTop w:val="0"/>
      <w:marBottom w:val="0"/>
      <w:divBdr>
        <w:top w:val="none" w:sz="0" w:space="0" w:color="auto"/>
        <w:left w:val="none" w:sz="0" w:space="0" w:color="auto"/>
        <w:bottom w:val="none" w:sz="0" w:space="0" w:color="auto"/>
        <w:right w:val="none" w:sz="0" w:space="0" w:color="auto"/>
      </w:divBdr>
    </w:div>
    <w:div w:id="1682010033">
      <w:bodyDiv w:val="1"/>
      <w:marLeft w:val="0"/>
      <w:marRight w:val="0"/>
      <w:marTop w:val="0"/>
      <w:marBottom w:val="0"/>
      <w:divBdr>
        <w:top w:val="none" w:sz="0" w:space="0" w:color="auto"/>
        <w:left w:val="none" w:sz="0" w:space="0" w:color="auto"/>
        <w:bottom w:val="none" w:sz="0" w:space="0" w:color="auto"/>
        <w:right w:val="none" w:sz="0" w:space="0" w:color="auto"/>
      </w:divBdr>
    </w:div>
    <w:div w:id="1704595018">
      <w:bodyDiv w:val="1"/>
      <w:marLeft w:val="0"/>
      <w:marRight w:val="0"/>
      <w:marTop w:val="0"/>
      <w:marBottom w:val="0"/>
      <w:divBdr>
        <w:top w:val="none" w:sz="0" w:space="0" w:color="auto"/>
        <w:left w:val="none" w:sz="0" w:space="0" w:color="auto"/>
        <w:bottom w:val="none" w:sz="0" w:space="0" w:color="auto"/>
        <w:right w:val="none" w:sz="0" w:space="0" w:color="auto"/>
      </w:divBdr>
    </w:div>
    <w:div w:id="1719428103">
      <w:bodyDiv w:val="1"/>
      <w:marLeft w:val="0"/>
      <w:marRight w:val="0"/>
      <w:marTop w:val="0"/>
      <w:marBottom w:val="0"/>
      <w:divBdr>
        <w:top w:val="none" w:sz="0" w:space="0" w:color="auto"/>
        <w:left w:val="none" w:sz="0" w:space="0" w:color="auto"/>
        <w:bottom w:val="none" w:sz="0" w:space="0" w:color="auto"/>
        <w:right w:val="none" w:sz="0" w:space="0" w:color="auto"/>
      </w:divBdr>
    </w:div>
    <w:div w:id="1720663253">
      <w:bodyDiv w:val="1"/>
      <w:marLeft w:val="0"/>
      <w:marRight w:val="0"/>
      <w:marTop w:val="0"/>
      <w:marBottom w:val="0"/>
      <w:divBdr>
        <w:top w:val="none" w:sz="0" w:space="0" w:color="auto"/>
        <w:left w:val="none" w:sz="0" w:space="0" w:color="auto"/>
        <w:bottom w:val="none" w:sz="0" w:space="0" w:color="auto"/>
        <w:right w:val="none" w:sz="0" w:space="0" w:color="auto"/>
      </w:divBdr>
    </w:div>
    <w:div w:id="1755200555">
      <w:bodyDiv w:val="1"/>
      <w:marLeft w:val="0"/>
      <w:marRight w:val="0"/>
      <w:marTop w:val="0"/>
      <w:marBottom w:val="0"/>
      <w:divBdr>
        <w:top w:val="none" w:sz="0" w:space="0" w:color="auto"/>
        <w:left w:val="none" w:sz="0" w:space="0" w:color="auto"/>
        <w:bottom w:val="none" w:sz="0" w:space="0" w:color="auto"/>
        <w:right w:val="none" w:sz="0" w:space="0" w:color="auto"/>
      </w:divBdr>
    </w:div>
    <w:div w:id="1777287313">
      <w:bodyDiv w:val="1"/>
      <w:marLeft w:val="0"/>
      <w:marRight w:val="0"/>
      <w:marTop w:val="0"/>
      <w:marBottom w:val="0"/>
      <w:divBdr>
        <w:top w:val="none" w:sz="0" w:space="0" w:color="auto"/>
        <w:left w:val="none" w:sz="0" w:space="0" w:color="auto"/>
        <w:bottom w:val="none" w:sz="0" w:space="0" w:color="auto"/>
        <w:right w:val="none" w:sz="0" w:space="0" w:color="auto"/>
      </w:divBdr>
    </w:div>
    <w:div w:id="1839691621">
      <w:bodyDiv w:val="1"/>
      <w:marLeft w:val="0"/>
      <w:marRight w:val="0"/>
      <w:marTop w:val="0"/>
      <w:marBottom w:val="0"/>
      <w:divBdr>
        <w:top w:val="none" w:sz="0" w:space="0" w:color="auto"/>
        <w:left w:val="none" w:sz="0" w:space="0" w:color="auto"/>
        <w:bottom w:val="none" w:sz="0" w:space="0" w:color="auto"/>
        <w:right w:val="none" w:sz="0" w:space="0" w:color="auto"/>
      </w:divBdr>
    </w:div>
    <w:div w:id="1847791859">
      <w:bodyDiv w:val="1"/>
      <w:marLeft w:val="0"/>
      <w:marRight w:val="0"/>
      <w:marTop w:val="0"/>
      <w:marBottom w:val="0"/>
      <w:divBdr>
        <w:top w:val="none" w:sz="0" w:space="0" w:color="auto"/>
        <w:left w:val="none" w:sz="0" w:space="0" w:color="auto"/>
        <w:bottom w:val="none" w:sz="0" w:space="0" w:color="auto"/>
        <w:right w:val="none" w:sz="0" w:space="0" w:color="auto"/>
      </w:divBdr>
    </w:div>
    <w:div w:id="1850287642">
      <w:bodyDiv w:val="1"/>
      <w:marLeft w:val="0"/>
      <w:marRight w:val="0"/>
      <w:marTop w:val="0"/>
      <w:marBottom w:val="0"/>
      <w:divBdr>
        <w:top w:val="none" w:sz="0" w:space="0" w:color="auto"/>
        <w:left w:val="none" w:sz="0" w:space="0" w:color="auto"/>
        <w:bottom w:val="none" w:sz="0" w:space="0" w:color="auto"/>
        <w:right w:val="none" w:sz="0" w:space="0" w:color="auto"/>
      </w:divBdr>
    </w:div>
    <w:div w:id="1876965116">
      <w:bodyDiv w:val="1"/>
      <w:marLeft w:val="0"/>
      <w:marRight w:val="0"/>
      <w:marTop w:val="0"/>
      <w:marBottom w:val="0"/>
      <w:divBdr>
        <w:top w:val="none" w:sz="0" w:space="0" w:color="auto"/>
        <w:left w:val="none" w:sz="0" w:space="0" w:color="auto"/>
        <w:bottom w:val="none" w:sz="0" w:space="0" w:color="auto"/>
        <w:right w:val="none" w:sz="0" w:space="0" w:color="auto"/>
      </w:divBdr>
    </w:div>
    <w:div w:id="1917277068">
      <w:bodyDiv w:val="1"/>
      <w:marLeft w:val="0"/>
      <w:marRight w:val="0"/>
      <w:marTop w:val="0"/>
      <w:marBottom w:val="0"/>
      <w:divBdr>
        <w:top w:val="none" w:sz="0" w:space="0" w:color="auto"/>
        <w:left w:val="none" w:sz="0" w:space="0" w:color="auto"/>
        <w:bottom w:val="none" w:sz="0" w:space="0" w:color="auto"/>
        <w:right w:val="none" w:sz="0" w:space="0" w:color="auto"/>
      </w:divBdr>
    </w:div>
    <w:div w:id="1925604662">
      <w:bodyDiv w:val="1"/>
      <w:marLeft w:val="0"/>
      <w:marRight w:val="0"/>
      <w:marTop w:val="0"/>
      <w:marBottom w:val="0"/>
      <w:divBdr>
        <w:top w:val="none" w:sz="0" w:space="0" w:color="auto"/>
        <w:left w:val="none" w:sz="0" w:space="0" w:color="auto"/>
        <w:bottom w:val="none" w:sz="0" w:space="0" w:color="auto"/>
        <w:right w:val="none" w:sz="0" w:space="0" w:color="auto"/>
      </w:divBdr>
    </w:div>
    <w:div w:id="1969043004">
      <w:bodyDiv w:val="1"/>
      <w:marLeft w:val="0"/>
      <w:marRight w:val="0"/>
      <w:marTop w:val="0"/>
      <w:marBottom w:val="0"/>
      <w:divBdr>
        <w:top w:val="none" w:sz="0" w:space="0" w:color="auto"/>
        <w:left w:val="none" w:sz="0" w:space="0" w:color="auto"/>
        <w:bottom w:val="none" w:sz="0" w:space="0" w:color="auto"/>
        <w:right w:val="none" w:sz="0" w:space="0" w:color="auto"/>
      </w:divBdr>
    </w:div>
    <w:div w:id="2058314339">
      <w:bodyDiv w:val="1"/>
      <w:marLeft w:val="0"/>
      <w:marRight w:val="0"/>
      <w:marTop w:val="0"/>
      <w:marBottom w:val="0"/>
      <w:divBdr>
        <w:top w:val="none" w:sz="0" w:space="0" w:color="auto"/>
        <w:left w:val="none" w:sz="0" w:space="0" w:color="auto"/>
        <w:bottom w:val="none" w:sz="0" w:space="0" w:color="auto"/>
        <w:right w:val="none" w:sz="0" w:space="0" w:color="auto"/>
      </w:divBdr>
    </w:div>
    <w:div w:id="2072999840">
      <w:bodyDiv w:val="1"/>
      <w:marLeft w:val="0"/>
      <w:marRight w:val="0"/>
      <w:marTop w:val="0"/>
      <w:marBottom w:val="0"/>
      <w:divBdr>
        <w:top w:val="none" w:sz="0" w:space="0" w:color="auto"/>
        <w:left w:val="none" w:sz="0" w:space="0" w:color="auto"/>
        <w:bottom w:val="none" w:sz="0" w:space="0" w:color="auto"/>
        <w:right w:val="none" w:sz="0" w:space="0" w:color="auto"/>
      </w:divBdr>
    </w:div>
    <w:div w:id="21321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Lifestyle newspaper">
      <a:dk1>
        <a:sysClr val="windowText" lastClr="000000"/>
      </a:dk1>
      <a:lt1>
        <a:sysClr val="window" lastClr="FFFFFF"/>
      </a:lt1>
      <a:dk2>
        <a:srgbClr val="323232"/>
      </a:dk2>
      <a:lt2>
        <a:srgbClr val="E5C243"/>
      </a:lt2>
      <a:accent1>
        <a:srgbClr val="A5300F"/>
      </a:accent1>
      <a:accent2>
        <a:srgbClr val="000F64"/>
      </a:accent2>
      <a:accent3>
        <a:srgbClr val="E19825"/>
      </a:accent3>
      <a:accent4>
        <a:srgbClr val="B19C7D"/>
      </a:accent4>
      <a:accent5>
        <a:srgbClr val="7F5F52"/>
      </a:accent5>
      <a:accent6>
        <a:srgbClr val="B27D49"/>
      </a:accent6>
      <a:hlink>
        <a:srgbClr val="6B9F25"/>
      </a:hlink>
      <a:folHlink>
        <a:srgbClr val="B26B02"/>
      </a:folHlink>
    </a:clrScheme>
    <a:fontScheme name="Custom 44">
      <a:majorFont>
        <a:latin typeface="Rockwell"/>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2" ma:contentTypeDescription="Create a new document." ma:contentTypeScope="" ma:versionID="4c36454f8913f40893814dcd288dd97d">
  <xsd:schema xmlns:xsd="http://www.w3.org/2001/XMLSchema" xmlns:xs="http://www.w3.org/2001/XMLSchema" xmlns:p="http://schemas.microsoft.com/office/2006/metadata/properties" xmlns:ns3="b68f4fe1-3a55-4bcc-9c2a-17f3e71cc75b" targetNamespace="http://schemas.microsoft.com/office/2006/metadata/properties" ma:root="true" ma:fieldsID="b96c0a79422527cba9412756cbc60692" ns3:_="">
    <xsd:import namespace="b68f4fe1-3a55-4bcc-9c2a-17f3e71cc7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E6DDA7-898F-4E01-86E1-11F200A0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87D37-530C-417F-A010-81D5DF8C7F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3FE665-9DF9-456D-9513-C3FD1A596E2F}">
  <ds:schemaRefs>
    <ds:schemaRef ds:uri="http://schemas.microsoft.com/sharepoint/v3/contenttype/forms"/>
  </ds:schemaRefs>
</ds:datastoreItem>
</file>

<file path=customXml/itemProps5.xml><?xml version="1.0" encoding="utf-8"?>
<ds:datastoreItem xmlns:ds="http://schemas.openxmlformats.org/officeDocument/2006/customXml" ds:itemID="{8C399216-DF74-4554-8A47-8548D5D3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energy</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subject/>
  <dc:creator/>
  <cp:keywords/>
  <dc:description/>
  <cp:lastModifiedBy/>
  <cp:revision>1</cp:revision>
  <dcterms:created xsi:type="dcterms:W3CDTF">2022-01-05T19:33:00Z</dcterms:created>
  <dcterms:modified xsi:type="dcterms:W3CDTF">2022-01-05T19:33:00Z</dcterms:modified>
  <cp:category>rate change advisory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0x0101006D32C8BED6CF3548BF8333AE401CD8C8</vt:lpwstr>
  </property>
</Properties>
</file>