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F470" w14:textId="1ECAD4E9" w:rsidR="00247F2E" w:rsidRPr="00BA11E4" w:rsidRDefault="007350FA" w:rsidP="00BA11E4">
      <w:pPr>
        <w:spacing w:after="240"/>
        <w:jc w:val="center"/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</w:pPr>
      <w:r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GAS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RATE</w:t>
      </w:r>
      <w:r w:rsidR="007C0FA4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INCREASE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EFFECTIVE</w:t>
      </w:r>
      <w:r w:rsidR="00F71284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</w:t>
      </w:r>
      <w:r w:rsidR="0013126F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JANUARY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1, 202</w:t>
      </w:r>
      <w:r w:rsidR="00E46FDA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2</w:t>
      </w:r>
    </w:p>
    <w:p w14:paraId="5025454C" w14:textId="79BCBD84" w:rsidR="00EB7799" w:rsidRPr="00A91BF9" w:rsidRDefault="00433148" w:rsidP="00522DAA">
      <w:pPr>
        <w:ind w:firstLine="0"/>
        <w:rPr>
          <w:rFonts w:ascii="Century Gothic" w:hAnsi="Century Gothic" w:cs="Calibri"/>
        </w:rPr>
      </w:pPr>
      <w:r w:rsidRPr="00A91BF9">
        <w:rPr>
          <w:rFonts w:ascii="Century Gothic" w:hAnsi="Century Gothic" w:cs="Calibri"/>
          <w:b/>
          <w:bCs/>
          <w:color w:val="7030A0"/>
        </w:rPr>
        <w:t xml:space="preserve">Sempra </w:t>
      </w:r>
      <w:bookmarkStart w:id="0" w:name="_Hlk38358903"/>
      <w:r w:rsidRPr="00A91BF9">
        <w:rPr>
          <w:rFonts w:ascii="Century Gothic" w:hAnsi="Century Gothic" w:cs="Calibri"/>
          <w:b/>
          <w:bCs/>
          <w:color w:val="7030A0"/>
        </w:rPr>
        <w:t>(</w:t>
      </w:r>
      <w:r w:rsidR="00ED1B8A" w:rsidRPr="00A91BF9">
        <w:rPr>
          <w:rFonts w:ascii="Century Gothic" w:hAnsi="Century Gothic" w:cs="Calibri"/>
          <w:b/>
          <w:bCs/>
          <w:color w:val="7030A0"/>
        </w:rPr>
        <w:t>SoCalGas and SDG&amp;E)</w:t>
      </w:r>
      <w:r w:rsidR="00BF5B47" w:rsidRPr="00A91BF9">
        <w:rPr>
          <w:rFonts w:ascii="Century Gothic" w:hAnsi="Century Gothic" w:cs="Calibri"/>
          <w:b/>
          <w:bCs/>
          <w:color w:val="7030A0"/>
        </w:rPr>
        <w:t xml:space="preserve"> </w:t>
      </w:r>
      <w:r w:rsidR="001A21DB" w:rsidRPr="00A91BF9">
        <w:rPr>
          <w:rFonts w:ascii="Century Gothic" w:hAnsi="Century Gothic" w:cs="Calibri"/>
          <w:b/>
          <w:bCs/>
          <w:color w:val="7030A0"/>
        </w:rPr>
        <w:t>–</w:t>
      </w:r>
      <w:r w:rsidR="00BF5B47" w:rsidRPr="00A91BF9">
        <w:rPr>
          <w:rFonts w:ascii="Century Gothic" w:hAnsi="Century Gothic" w:cs="Calibri"/>
          <w:b/>
          <w:bCs/>
          <w:color w:val="7030A0"/>
        </w:rPr>
        <w:t xml:space="preserve"> </w:t>
      </w:r>
      <w:r w:rsidR="001A21DB" w:rsidRPr="00A91BF9">
        <w:rPr>
          <w:rFonts w:ascii="Century Gothic" w:hAnsi="Century Gothic" w:cs="Calibri"/>
        </w:rPr>
        <w:t>SoCalGas</w:t>
      </w:r>
      <w:r w:rsidR="00EB7799" w:rsidRPr="00A91BF9">
        <w:rPr>
          <w:rFonts w:ascii="Century Gothic" w:hAnsi="Century Gothic" w:cs="Calibri"/>
        </w:rPr>
        <w:t xml:space="preserve"> and SDG&amp;E</w:t>
      </w:r>
      <w:r w:rsidR="00692345">
        <w:rPr>
          <w:rFonts w:ascii="Century Gothic" w:hAnsi="Century Gothic" w:cs="Calibri"/>
        </w:rPr>
        <w:t xml:space="preserve"> </w:t>
      </w:r>
      <w:r w:rsidR="001A21DB" w:rsidRPr="00A91BF9">
        <w:rPr>
          <w:rFonts w:ascii="Century Gothic" w:hAnsi="Century Gothic" w:cs="Calibri"/>
        </w:rPr>
        <w:t>file</w:t>
      </w:r>
      <w:r w:rsidR="00613378">
        <w:rPr>
          <w:rFonts w:ascii="Century Gothic" w:hAnsi="Century Gothic" w:cs="Calibri"/>
        </w:rPr>
        <w:t xml:space="preserve">d </w:t>
      </w:r>
      <w:r w:rsidR="001A21DB" w:rsidRPr="00A91BF9">
        <w:rPr>
          <w:rFonts w:ascii="Century Gothic" w:hAnsi="Century Gothic" w:cs="Calibri"/>
        </w:rPr>
        <w:t>the</w:t>
      </w:r>
      <w:r w:rsidR="00EB7799" w:rsidRPr="00A91BF9">
        <w:rPr>
          <w:rFonts w:ascii="Century Gothic" w:hAnsi="Century Gothic" w:cs="Calibri"/>
        </w:rPr>
        <w:t>ir</w:t>
      </w:r>
      <w:r w:rsidR="001A21DB" w:rsidRPr="00A91BF9">
        <w:rPr>
          <w:rFonts w:ascii="Century Gothic" w:hAnsi="Century Gothic" w:cs="Calibri"/>
        </w:rPr>
        <w:t xml:space="preserve"> Annual Consolidated Rate Update Advice Letter</w:t>
      </w:r>
      <w:r w:rsidR="00613378">
        <w:rPr>
          <w:rFonts w:ascii="Century Gothic" w:hAnsi="Century Gothic" w:cs="Calibri"/>
        </w:rPr>
        <w:t>s 5915-G and 3046</w:t>
      </w:r>
      <w:r w:rsidR="00692345">
        <w:rPr>
          <w:rFonts w:ascii="Century Gothic" w:hAnsi="Century Gothic" w:cs="Calibri"/>
        </w:rPr>
        <w:t>-G</w:t>
      </w:r>
      <w:r w:rsidR="00613378">
        <w:rPr>
          <w:rFonts w:ascii="Century Gothic" w:hAnsi="Century Gothic" w:cs="Calibri"/>
        </w:rPr>
        <w:t xml:space="preserve"> in</w:t>
      </w:r>
      <w:r w:rsidR="0058317E" w:rsidRPr="00A91BF9">
        <w:rPr>
          <w:rFonts w:ascii="Century Gothic" w:hAnsi="Century Gothic" w:cs="Calibri"/>
        </w:rPr>
        <w:t xml:space="preserve"> </w:t>
      </w:r>
      <w:r w:rsidR="00EB7799" w:rsidRPr="00A91BF9">
        <w:rPr>
          <w:rFonts w:ascii="Century Gothic" w:hAnsi="Century Gothic" w:cs="Calibri"/>
        </w:rPr>
        <w:t>December</w:t>
      </w:r>
      <w:r w:rsidR="001A21DB" w:rsidRPr="00A91BF9">
        <w:rPr>
          <w:rFonts w:ascii="Century Gothic" w:hAnsi="Century Gothic" w:cs="Calibri"/>
        </w:rPr>
        <w:t xml:space="preserve"> 202</w:t>
      </w:r>
      <w:r w:rsidR="00517B60" w:rsidRPr="00A91BF9">
        <w:rPr>
          <w:rFonts w:ascii="Century Gothic" w:hAnsi="Century Gothic" w:cs="Calibri"/>
        </w:rPr>
        <w:t>1</w:t>
      </w:r>
      <w:r w:rsidR="001A21DB" w:rsidRPr="00A91BF9">
        <w:rPr>
          <w:rFonts w:ascii="Century Gothic" w:hAnsi="Century Gothic" w:cs="Calibri"/>
        </w:rPr>
        <w:t xml:space="preserve"> </w:t>
      </w:r>
      <w:r w:rsidR="00EB7799" w:rsidRPr="00A91BF9">
        <w:rPr>
          <w:rFonts w:ascii="Century Gothic" w:hAnsi="Century Gothic" w:cs="Calibri"/>
        </w:rPr>
        <w:t xml:space="preserve">consolidating all CPUC-authorized changes </w:t>
      </w:r>
      <w:r w:rsidR="00B3510B" w:rsidRPr="00A91BF9">
        <w:rPr>
          <w:rFonts w:ascii="Century Gothic" w:hAnsi="Century Gothic" w:cs="Calibri"/>
        </w:rPr>
        <w:t xml:space="preserve">to the revenue the two utilities need to operate </w:t>
      </w:r>
      <w:r w:rsidR="00EB7799" w:rsidRPr="00A91BF9">
        <w:rPr>
          <w:rFonts w:ascii="Century Gothic" w:hAnsi="Century Gothic" w:cs="Calibri"/>
        </w:rPr>
        <w:t xml:space="preserve">and the </w:t>
      </w:r>
      <w:r w:rsidR="00B3510B" w:rsidRPr="00A91BF9">
        <w:rPr>
          <w:rFonts w:ascii="Century Gothic" w:hAnsi="Century Gothic" w:cs="Calibri"/>
        </w:rPr>
        <w:t xml:space="preserve">corresponding </w:t>
      </w:r>
      <w:r w:rsidR="00EB7799" w:rsidRPr="00A91BF9">
        <w:rPr>
          <w:rFonts w:ascii="Century Gothic" w:hAnsi="Century Gothic" w:cs="Calibri"/>
        </w:rPr>
        <w:t xml:space="preserve">changes to </w:t>
      </w:r>
      <w:r w:rsidR="00436886" w:rsidRPr="00A91BF9">
        <w:rPr>
          <w:rFonts w:ascii="Century Gothic" w:hAnsi="Century Gothic" w:cs="Calibri"/>
        </w:rPr>
        <w:t xml:space="preserve">gas transportation </w:t>
      </w:r>
      <w:r w:rsidR="00EB7799" w:rsidRPr="00A91BF9">
        <w:rPr>
          <w:rFonts w:ascii="Century Gothic" w:hAnsi="Century Gothic" w:cs="Calibri"/>
        </w:rPr>
        <w:t>rates</w:t>
      </w:r>
      <w:r w:rsidR="00B3510B" w:rsidRPr="00A91BF9">
        <w:rPr>
          <w:rFonts w:ascii="Century Gothic" w:hAnsi="Century Gothic" w:cs="Calibri"/>
        </w:rPr>
        <w:t xml:space="preserve"> customers pay</w:t>
      </w:r>
      <w:r w:rsidR="00436886" w:rsidRPr="00A91BF9">
        <w:rPr>
          <w:rFonts w:ascii="Century Gothic" w:hAnsi="Century Gothic" w:cs="Calibri"/>
        </w:rPr>
        <w:t xml:space="preserve">, effective </w:t>
      </w:r>
      <w:r w:rsidR="00522DAA" w:rsidRPr="00A91BF9">
        <w:rPr>
          <w:rFonts w:ascii="Century Gothic" w:hAnsi="Century Gothic" w:cs="Calibri"/>
        </w:rPr>
        <w:t>January 1, 202</w:t>
      </w:r>
      <w:r w:rsidR="00517B60" w:rsidRPr="00A91BF9">
        <w:rPr>
          <w:rFonts w:ascii="Century Gothic" w:hAnsi="Century Gothic" w:cs="Calibri"/>
        </w:rPr>
        <w:t>2</w:t>
      </w:r>
      <w:r w:rsidR="00436886" w:rsidRPr="00A91BF9">
        <w:rPr>
          <w:rFonts w:ascii="Century Gothic" w:hAnsi="Century Gothic" w:cs="Calibri"/>
        </w:rPr>
        <w:t>.</w:t>
      </w:r>
      <w:r w:rsidR="00522DAA" w:rsidRPr="00A91BF9">
        <w:rPr>
          <w:rFonts w:ascii="Century Gothic" w:hAnsi="Century Gothic" w:cs="Calibri"/>
        </w:rPr>
        <w:t xml:space="preserve"> </w:t>
      </w:r>
      <w:r w:rsidR="00AC43F9" w:rsidRPr="00A91BF9">
        <w:rPr>
          <w:rFonts w:ascii="Century Gothic" w:hAnsi="Century Gothic" w:cs="Calibri"/>
        </w:rPr>
        <w:t xml:space="preserve">The Consolidated advice letters will reflect an increase </w:t>
      </w:r>
      <w:r w:rsidR="00A91BF9" w:rsidRPr="00A91BF9">
        <w:rPr>
          <w:rFonts w:ascii="Century Gothic" w:hAnsi="Century Gothic" w:cs="Calibri"/>
        </w:rPr>
        <w:t xml:space="preserve">in revenues </w:t>
      </w:r>
      <w:r w:rsidR="00AC43F9" w:rsidRPr="00A91BF9">
        <w:rPr>
          <w:rFonts w:ascii="Century Gothic" w:hAnsi="Century Gothic" w:cs="Calibri"/>
        </w:rPr>
        <w:t>of $</w:t>
      </w:r>
      <w:r w:rsidR="00F6366C" w:rsidRPr="00A91BF9">
        <w:rPr>
          <w:rFonts w:ascii="Century Gothic" w:hAnsi="Century Gothic" w:cs="Calibri"/>
        </w:rPr>
        <w:t>288</w:t>
      </w:r>
      <w:r w:rsidR="00AC43F9" w:rsidRPr="00A91BF9">
        <w:rPr>
          <w:rFonts w:ascii="Century Gothic" w:hAnsi="Century Gothic" w:cs="Calibri"/>
        </w:rPr>
        <w:t xml:space="preserve"> million for SoCalGas and $</w:t>
      </w:r>
      <w:r w:rsidR="0096622A" w:rsidRPr="00A91BF9">
        <w:rPr>
          <w:rFonts w:ascii="Century Gothic" w:hAnsi="Century Gothic" w:cs="Calibri"/>
        </w:rPr>
        <w:t>3</w:t>
      </w:r>
      <w:r w:rsidR="00F6366C" w:rsidRPr="00A91BF9">
        <w:rPr>
          <w:rFonts w:ascii="Century Gothic" w:hAnsi="Century Gothic" w:cs="Calibri"/>
        </w:rPr>
        <w:t>7</w:t>
      </w:r>
      <w:r w:rsidR="00864586">
        <w:rPr>
          <w:rFonts w:ascii="Century Gothic" w:hAnsi="Century Gothic" w:cs="Calibri"/>
        </w:rPr>
        <w:t>.5</w:t>
      </w:r>
      <w:r w:rsidR="00AC43F9" w:rsidRPr="00A91BF9">
        <w:rPr>
          <w:rFonts w:ascii="Century Gothic" w:hAnsi="Century Gothic" w:cs="Calibri"/>
        </w:rPr>
        <w:t xml:space="preserve"> million</w:t>
      </w:r>
      <w:r w:rsidR="00B15B25">
        <w:rPr>
          <w:rFonts w:ascii="Century Gothic" w:hAnsi="Century Gothic" w:cs="Calibri"/>
        </w:rPr>
        <w:t xml:space="preserve"> </w:t>
      </w:r>
      <w:r w:rsidR="00AC43F9" w:rsidRPr="00A91BF9">
        <w:rPr>
          <w:rFonts w:ascii="Century Gothic" w:hAnsi="Century Gothic" w:cs="Calibri"/>
        </w:rPr>
        <w:t>for SDG&amp;E</w:t>
      </w:r>
      <w:r w:rsidR="00E53CF3">
        <w:rPr>
          <w:rFonts w:ascii="Century Gothic" w:hAnsi="Century Gothic" w:cs="Calibri"/>
        </w:rPr>
        <w:t xml:space="preserve"> for gas transportation and delivery costs (not including commodity costs)</w:t>
      </w:r>
      <w:r w:rsidR="00AC43F9" w:rsidRPr="00A91BF9">
        <w:rPr>
          <w:rFonts w:ascii="Century Gothic" w:hAnsi="Century Gothic" w:cs="Calibri"/>
        </w:rPr>
        <w:t>.</w:t>
      </w:r>
      <w:r w:rsidR="0013126F" w:rsidRPr="00A91BF9">
        <w:rPr>
          <w:rFonts w:ascii="Century Gothic" w:hAnsi="Century Gothic" w:cs="Calibri"/>
        </w:rPr>
        <w:t xml:space="preserve"> The increase is mainly due to 2022 General Rate Case (GRC) adjustments and</w:t>
      </w:r>
      <w:r w:rsidR="00E40E09" w:rsidRPr="00E40E09">
        <w:t xml:space="preserve"> </w:t>
      </w:r>
      <w:r w:rsidR="00E40E09">
        <w:rPr>
          <w:rFonts w:ascii="Century Gothic" w:hAnsi="Century Gothic" w:cs="Calibri"/>
        </w:rPr>
        <w:t>the a</w:t>
      </w:r>
      <w:r w:rsidR="00E40E09" w:rsidRPr="00E40E09">
        <w:rPr>
          <w:rFonts w:ascii="Century Gothic" w:hAnsi="Century Gothic" w:cs="Calibri"/>
        </w:rPr>
        <w:t xml:space="preserve">nnual </w:t>
      </w:r>
      <w:r w:rsidR="00E40E09">
        <w:rPr>
          <w:rFonts w:ascii="Century Gothic" w:hAnsi="Century Gothic" w:cs="Calibri"/>
        </w:rPr>
        <w:t>r</w:t>
      </w:r>
      <w:r w:rsidR="00E40E09" w:rsidRPr="00E40E09">
        <w:rPr>
          <w:rFonts w:ascii="Century Gothic" w:hAnsi="Century Gothic" w:cs="Calibri"/>
        </w:rPr>
        <w:t xml:space="preserve">egulatory </w:t>
      </w:r>
      <w:r w:rsidR="00E40E09">
        <w:rPr>
          <w:rFonts w:ascii="Century Gothic" w:hAnsi="Century Gothic" w:cs="Calibri"/>
        </w:rPr>
        <w:t>a</w:t>
      </w:r>
      <w:r w:rsidR="00E40E09" w:rsidRPr="00E40E09">
        <w:rPr>
          <w:rFonts w:ascii="Century Gothic" w:hAnsi="Century Gothic" w:cs="Calibri"/>
        </w:rPr>
        <w:t xml:space="preserve">ccount </w:t>
      </w:r>
      <w:r w:rsidR="00E40E09">
        <w:rPr>
          <w:rFonts w:ascii="Century Gothic" w:hAnsi="Century Gothic" w:cs="Calibri"/>
        </w:rPr>
        <w:t>b</w:t>
      </w:r>
      <w:r w:rsidR="00E40E09" w:rsidRPr="00E40E09">
        <w:rPr>
          <w:rFonts w:ascii="Century Gothic" w:hAnsi="Century Gothic" w:cs="Calibri"/>
        </w:rPr>
        <w:t xml:space="preserve">alance </w:t>
      </w:r>
      <w:r w:rsidR="00E40E09">
        <w:rPr>
          <w:rFonts w:ascii="Century Gothic" w:hAnsi="Century Gothic" w:cs="Calibri"/>
        </w:rPr>
        <w:t>u</w:t>
      </w:r>
      <w:r w:rsidR="00E40E09" w:rsidRPr="00E40E09">
        <w:rPr>
          <w:rFonts w:ascii="Century Gothic" w:hAnsi="Century Gothic" w:cs="Calibri"/>
        </w:rPr>
        <w:t xml:space="preserve">pdate </w:t>
      </w:r>
      <w:r w:rsidR="00E40E09">
        <w:rPr>
          <w:rFonts w:ascii="Century Gothic" w:hAnsi="Century Gothic" w:cs="Calibri"/>
        </w:rPr>
        <w:t>including</w:t>
      </w:r>
      <w:r w:rsidR="0013126F" w:rsidRPr="00A91BF9">
        <w:rPr>
          <w:rFonts w:ascii="Century Gothic" w:hAnsi="Century Gothic" w:cs="Calibri"/>
        </w:rPr>
        <w:t xml:space="preserve"> Green House Gas </w:t>
      </w:r>
      <w:r w:rsidR="00261F48">
        <w:rPr>
          <w:rFonts w:ascii="Century Gothic" w:hAnsi="Century Gothic" w:cs="Calibri"/>
        </w:rPr>
        <w:t>(GHG) program costs.</w:t>
      </w:r>
      <w:r w:rsidR="00E21C90">
        <w:rPr>
          <w:rFonts w:ascii="Century Gothic" w:hAnsi="Century Gothic" w:cs="Calibri"/>
        </w:rPr>
        <w:t xml:space="preserve"> </w:t>
      </w:r>
      <w:r w:rsidR="00261F48">
        <w:rPr>
          <w:rFonts w:ascii="Century Gothic" w:hAnsi="Century Gothic" w:cs="Calibri"/>
        </w:rPr>
        <w:t>The GHG program costs will  be</w:t>
      </w:r>
      <w:r w:rsidR="00E21C90">
        <w:rPr>
          <w:rFonts w:ascii="Century Gothic" w:hAnsi="Century Gothic" w:cs="Calibri"/>
        </w:rPr>
        <w:t xml:space="preserve"> partially </w:t>
      </w:r>
      <w:r w:rsidR="00261F48">
        <w:rPr>
          <w:rFonts w:ascii="Century Gothic" w:hAnsi="Century Gothic" w:cs="Calibri"/>
        </w:rPr>
        <w:t xml:space="preserve">offset when </w:t>
      </w:r>
      <w:r w:rsidR="00EE6524">
        <w:rPr>
          <w:rFonts w:ascii="Century Gothic" w:hAnsi="Century Gothic" w:cs="Calibri"/>
        </w:rPr>
        <w:t xml:space="preserve">SoCalGas and SDG&amp;E residential non-CARE and CARE customers receive </w:t>
      </w:r>
      <w:r w:rsidR="00BB7348">
        <w:rPr>
          <w:rFonts w:ascii="Century Gothic" w:hAnsi="Century Gothic" w:cs="Calibri"/>
        </w:rPr>
        <w:t xml:space="preserve">the </w:t>
      </w:r>
      <w:r w:rsidR="00261F48">
        <w:rPr>
          <w:rFonts w:ascii="Century Gothic" w:hAnsi="Century Gothic" w:cs="Calibri"/>
        </w:rPr>
        <w:t>GHG</w:t>
      </w:r>
      <w:r w:rsidR="006B1C2F">
        <w:rPr>
          <w:rFonts w:ascii="Century Gothic" w:hAnsi="Century Gothic" w:cs="Calibri"/>
        </w:rPr>
        <w:t xml:space="preserve"> climate credit</w:t>
      </w:r>
      <w:r w:rsidR="00EE6524">
        <w:rPr>
          <w:rFonts w:ascii="Century Gothic" w:hAnsi="Century Gothic" w:cs="Calibri"/>
        </w:rPr>
        <w:t xml:space="preserve"> in April</w:t>
      </w:r>
      <w:r w:rsidR="00261F48">
        <w:rPr>
          <w:rFonts w:ascii="Century Gothic" w:hAnsi="Century Gothic" w:cs="Calibri"/>
        </w:rPr>
        <w:t xml:space="preserve"> </w:t>
      </w:r>
      <w:r w:rsidR="00EE6524">
        <w:rPr>
          <w:rFonts w:ascii="Century Gothic" w:hAnsi="Century Gothic" w:cs="Calibri"/>
        </w:rPr>
        <w:t>2022.</w:t>
      </w:r>
    </w:p>
    <w:bookmarkEnd w:id="0"/>
    <w:p w14:paraId="24C8BA12" w14:textId="7B5D6F69" w:rsidR="00785260" w:rsidRPr="00A91BF9" w:rsidRDefault="00785260" w:rsidP="009A4345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6A75793E" w14:textId="77777777" w:rsidR="0027768E" w:rsidRPr="00A91BF9" w:rsidRDefault="0027768E" w:rsidP="0027768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6B4A5B41" w14:textId="2C77C664" w:rsidR="008F62D4" w:rsidRPr="008F62D4" w:rsidRDefault="008F62D4" w:rsidP="00A24FB2">
      <w:pPr>
        <w:ind w:firstLine="0"/>
        <w:rPr>
          <w:rFonts w:ascii="Century Gothic" w:hAnsi="Century Gothic" w:cs="Calibri"/>
        </w:rPr>
      </w:pPr>
      <w:bookmarkStart w:id="1" w:name="_Hlk38358863"/>
      <w:r w:rsidRPr="008F62D4">
        <w:rPr>
          <w:rFonts w:ascii="Century Gothic" w:hAnsi="Century Gothic" w:cs="Calibri"/>
        </w:rPr>
        <w:t xml:space="preserve">The percentage increases in the table </w:t>
      </w:r>
      <w:r>
        <w:rPr>
          <w:rFonts w:ascii="Century Gothic" w:hAnsi="Century Gothic" w:cs="Calibri"/>
        </w:rPr>
        <w:t>below</w:t>
      </w:r>
      <w:r w:rsidRPr="008F62D4">
        <w:rPr>
          <w:rFonts w:ascii="Century Gothic" w:hAnsi="Century Gothic" w:cs="Calibri"/>
        </w:rPr>
        <w:t xml:space="preserve"> are total bill impact based on estimated commodity prices, with commodity prices held constant  in order to calculate the isolated impact of these transportation and delivery rate increases. </w:t>
      </w:r>
      <w:r>
        <w:rPr>
          <w:rFonts w:ascii="Century Gothic" w:hAnsi="Century Gothic" w:cs="Calibri"/>
        </w:rPr>
        <w:t>G</w:t>
      </w:r>
      <w:r w:rsidRPr="008F62D4">
        <w:rPr>
          <w:rFonts w:ascii="Century Gothic" w:hAnsi="Century Gothic" w:cs="Calibri"/>
        </w:rPr>
        <w:t xml:space="preserve">as commodity prices this winter will be much more expensive than last winter, potentially close to 100% more on a per </w:t>
      </w:r>
      <w:proofErr w:type="spellStart"/>
      <w:r w:rsidRPr="008F62D4">
        <w:rPr>
          <w:rFonts w:ascii="Century Gothic" w:hAnsi="Century Gothic" w:cs="Calibri"/>
        </w:rPr>
        <w:t>therm</w:t>
      </w:r>
      <w:proofErr w:type="spellEnd"/>
      <w:r w:rsidRPr="008F62D4">
        <w:rPr>
          <w:rFonts w:ascii="Century Gothic" w:hAnsi="Century Gothic" w:cs="Calibri"/>
        </w:rPr>
        <w:t xml:space="preserve"> basis</w:t>
      </w:r>
      <w:r>
        <w:rPr>
          <w:rFonts w:ascii="Century Gothic" w:hAnsi="Century Gothic" w:cs="Calibri"/>
        </w:rPr>
        <w:t xml:space="preserve"> which </w:t>
      </w:r>
      <w:r w:rsidRPr="008F62D4">
        <w:rPr>
          <w:rFonts w:ascii="Century Gothic" w:hAnsi="Century Gothic" w:cs="Calibri"/>
        </w:rPr>
        <w:t>will lead to more increases</w:t>
      </w:r>
      <w:r>
        <w:rPr>
          <w:rFonts w:ascii="Century Gothic" w:hAnsi="Century Gothic" w:cs="Calibri"/>
        </w:rPr>
        <w:t xml:space="preserve"> in customer bills</w:t>
      </w:r>
      <w:r w:rsidRPr="008F62D4">
        <w:rPr>
          <w:rFonts w:ascii="Century Gothic" w:hAnsi="Century Gothic" w:cs="Calibri"/>
        </w:rPr>
        <w:t xml:space="preserve"> over the winter months.</w:t>
      </w:r>
      <w:r w:rsidR="00C9733D">
        <w:rPr>
          <w:rStyle w:val="FootnoteReference"/>
          <w:rFonts w:ascii="Century Gothic" w:hAnsi="Century Gothic" w:cs="Calibri"/>
        </w:rPr>
        <w:footnoteReference w:id="1"/>
      </w:r>
    </w:p>
    <w:p w14:paraId="54F71A55" w14:textId="77777777" w:rsidR="008F62D4" w:rsidRDefault="008F62D4" w:rsidP="00A24FB2">
      <w:pPr>
        <w:ind w:firstLine="0"/>
        <w:rPr>
          <w:rFonts w:ascii="Century Gothic" w:hAnsi="Century Gothic" w:cs="Calibri"/>
          <w:b/>
          <w:bCs/>
          <w:u w:val="single"/>
        </w:rPr>
      </w:pPr>
    </w:p>
    <w:p w14:paraId="1EF32B48" w14:textId="1E9BAAE0" w:rsidR="00764CCE" w:rsidRPr="00A91BF9" w:rsidRDefault="009C2E65" w:rsidP="00A24FB2">
      <w:pPr>
        <w:ind w:firstLine="0"/>
        <w:rPr>
          <w:rFonts w:ascii="Century Gothic" w:hAnsi="Century Gothic" w:cs="Calibri"/>
          <w:b/>
          <w:bCs/>
          <w:u w:val="single"/>
        </w:rPr>
      </w:pPr>
      <w:r w:rsidRPr="00A91BF9">
        <w:rPr>
          <w:rFonts w:ascii="Century Gothic" w:hAnsi="Century Gothic" w:cs="Calibri"/>
          <w:b/>
          <w:bCs/>
          <w:u w:val="single"/>
        </w:rPr>
        <w:t>E</w:t>
      </w:r>
      <w:r w:rsidR="005E4368" w:rsidRPr="00A91BF9">
        <w:rPr>
          <w:rFonts w:ascii="Century Gothic" w:hAnsi="Century Gothic" w:cs="Calibri"/>
          <w:b/>
          <w:bCs/>
          <w:u w:val="single"/>
        </w:rPr>
        <w:t xml:space="preserve">stimated </w:t>
      </w:r>
      <w:r w:rsidR="00764CCE" w:rsidRPr="00A91BF9">
        <w:rPr>
          <w:rFonts w:ascii="Century Gothic" w:hAnsi="Century Gothic" w:cs="Calibri"/>
          <w:b/>
          <w:bCs/>
          <w:u w:val="single"/>
        </w:rPr>
        <w:t xml:space="preserve">residential bill impacts effective </w:t>
      </w:r>
      <w:r w:rsidR="001A21DB" w:rsidRPr="00A91BF9">
        <w:rPr>
          <w:rFonts w:ascii="Century Gothic" w:hAnsi="Century Gothic" w:cs="Calibri"/>
          <w:b/>
          <w:bCs/>
          <w:u w:val="single"/>
        </w:rPr>
        <w:t>January</w:t>
      </w:r>
      <w:r w:rsidR="00764CCE" w:rsidRPr="00A91BF9">
        <w:rPr>
          <w:rFonts w:ascii="Century Gothic" w:hAnsi="Century Gothic" w:cs="Calibri"/>
          <w:b/>
          <w:bCs/>
          <w:u w:val="single"/>
        </w:rPr>
        <w:t xml:space="preserve"> 1, 202</w:t>
      </w:r>
      <w:r w:rsidR="00517B60" w:rsidRPr="00A91BF9">
        <w:rPr>
          <w:rFonts w:ascii="Century Gothic" w:hAnsi="Century Gothic" w:cs="Calibri"/>
          <w:b/>
          <w:bCs/>
          <w:u w:val="single"/>
        </w:rPr>
        <w:t>2</w:t>
      </w:r>
      <w:r w:rsidR="00764CCE" w:rsidRPr="00A91BF9">
        <w:rPr>
          <w:rFonts w:ascii="Century Gothic" w:hAnsi="Century Gothic" w:cs="Calibri"/>
          <w:b/>
          <w:bCs/>
          <w:u w:val="single"/>
        </w:rPr>
        <w:t>:</w:t>
      </w:r>
    </w:p>
    <w:bookmarkEnd w:id="1"/>
    <w:p w14:paraId="4358798C" w14:textId="77777777" w:rsidR="00764CCE" w:rsidRPr="00A91BF9" w:rsidRDefault="00764CCE" w:rsidP="00764CCE">
      <w:pPr>
        <w:pStyle w:val="ListParagraph"/>
        <w:rPr>
          <w:rFonts w:ascii="Century Gothic" w:hAnsi="Century Gothic" w:cs="Calibri"/>
          <w:sz w:val="14"/>
          <w:szCs w:val="14"/>
        </w:rPr>
      </w:pPr>
    </w:p>
    <w:tbl>
      <w:tblPr>
        <w:tblStyle w:val="GridTable5Dark-Accent2"/>
        <w:tblW w:w="0" w:type="auto"/>
        <w:jc w:val="center"/>
        <w:tblLook w:val="04A0" w:firstRow="1" w:lastRow="0" w:firstColumn="1" w:lastColumn="0" w:noHBand="0" w:noVBand="1"/>
      </w:tblPr>
      <w:tblGrid>
        <w:gridCol w:w="5557"/>
        <w:gridCol w:w="1728"/>
        <w:gridCol w:w="1800"/>
      </w:tblGrid>
      <w:tr w:rsidR="00501AE2" w:rsidRPr="00A91BF9" w14:paraId="697A773B" w14:textId="77777777" w:rsidTr="002C1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</w:tcPr>
          <w:p w14:paraId="648E7BCB" w14:textId="182C2C00" w:rsidR="005D7AD3" w:rsidRPr="00A91BF9" w:rsidRDefault="005E4368" w:rsidP="005D7AD3">
            <w:pPr>
              <w:ind w:firstLine="0"/>
              <w:jc w:val="center"/>
              <w:rPr>
                <w:rFonts w:ascii="Century Gothic" w:hAnsi="Century Gothic" w:cs="Calibri"/>
                <w:b w:val="0"/>
                <w:bCs w:val="0"/>
              </w:rPr>
            </w:pPr>
            <w:bookmarkStart w:id="2" w:name="_Hlk38358468"/>
            <w:r w:rsidRPr="00A91BF9">
              <w:rPr>
                <w:rFonts w:ascii="Century Gothic" w:hAnsi="Century Gothic" w:cs="Calibri"/>
              </w:rPr>
              <w:t xml:space="preserve">Estimated </w:t>
            </w:r>
            <w:r w:rsidR="00764CCE" w:rsidRPr="00A91BF9">
              <w:rPr>
                <w:rFonts w:ascii="Century Gothic" w:hAnsi="Century Gothic" w:cs="Calibri"/>
              </w:rPr>
              <w:t>Bill Impact</w:t>
            </w:r>
            <w:r w:rsidR="00E46FDA" w:rsidRPr="00A91BF9">
              <w:rPr>
                <w:rStyle w:val="FootnoteReference"/>
                <w:rFonts w:ascii="Century Gothic" w:hAnsi="Century Gothic" w:cs="Calibri"/>
              </w:rPr>
              <w:footnoteReference w:id="2"/>
            </w:r>
            <w:r w:rsidR="00764CCE" w:rsidRPr="00A91BF9">
              <w:rPr>
                <w:rFonts w:ascii="Century Gothic" w:hAnsi="Century Gothic" w:cs="Calibri"/>
              </w:rPr>
              <w:t xml:space="preserve"> – </w:t>
            </w:r>
            <w:r w:rsidR="005D7AD3" w:rsidRPr="00A91BF9">
              <w:rPr>
                <w:rFonts w:ascii="Century Gothic" w:hAnsi="Century Gothic" w:cs="Calibri"/>
              </w:rPr>
              <w:t>Consolidated Rate Update</w:t>
            </w:r>
          </w:p>
          <w:p w14:paraId="343BD0BE" w14:textId="3C27C4EB" w:rsidR="00260D99" w:rsidRPr="00A91BF9" w:rsidRDefault="00260D99" w:rsidP="00764CCE">
            <w:pPr>
              <w:ind w:firstLine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728" w:type="dxa"/>
          </w:tcPr>
          <w:p w14:paraId="6AD3327D" w14:textId="200D1457" w:rsidR="002C1FD7" w:rsidRPr="00A91BF9" w:rsidRDefault="00764CCE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 w:val="0"/>
                <w:bCs w:val="0"/>
              </w:rPr>
            </w:pPr>
            <w:r w:rsidRPr="00A91BF9">
              <w:rPr>
                <w:rFonts w:ascii="Century Gothic" w:hAnsi="Century Gothic" w:cs="Calibri"/>
              </w:rPr>
              <w:t xml:space="preserve">SDG&amp;E </w:t>
            </w:r>
          </w:p>
          <w:p w14:paraId="75C3DD8A" w14:textId="2EC5F503" w:rsidR="00764CCE" w:rsidRPr="00A91BF9" w:rsidRDefault="001A21DB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 w:cs="Calibri"/>
              </w:rPr>
              <w:t>Jan</w:t>
            </w:r>
            <w:r w:rsidR="00764CCE" w:rsidRPr="00A91BF9">
              <w:rPr>
                <w:rFonts w:ascii="Century Gothic" w:hAnsi="Century Gothic" w:cs="Calibri"/>
              </w:rPr>
              <w:t xml:space="preserve"> 1, 202</w:t>
            </w:r>
            <w:r w:rsidR="00517B60" w:rsidRPr="00A91BF9">
              <w:rPr>
                <w:rFonts w:ascii="Century Gothic" w:hAnsi="Century Gothic" w:cs="Calibri"/>
              </w:rPr>
              <w:t>2</w:t>
            </w:r>
          </w:p>
        </w:tc>
        <w:tc>
          <w:tcPr>
            <w:tcW w:w="1800" w:type="dxa"/>
          </w:tcPr>
          <w:p w14:paraId="419492F6" w14:textId="0412EDB6" w:rsidR="002C1FD7" w:rsidRPr="00A91BF9" w:rsidRDefault="00764CCE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 w:val="0"/>
                <w:bCs w:val="0"/>
              </w:rPr>
            </w:pPr>
            <w:r w:rsidRPr="00A91BF9">
              <w:rPr>
                <w:rFonts w:ascii="Century Gothic" w:hAnsi="Century Gothic" w:cs="Calibri"/>
              </w:rPr>
              <w:t xml:space="preserve">SoCalGas </w:t>
            </w:r>
          </w:p>
          <w:p w14:paraId="7616F323" w14:textId="104E2FA6" w:rsidR="00764CCE" w:rsidRPr="00A91BF9" w:rsidRDefault="001A21DB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 w:cs="Calibri"/>
              </w:rPr>
              <w:t>Jan</w:t>
            </w:r>
            <w:r w:rsidR="00764CCE" w:rsidRPr="00A91BF9">
              <w:rPr>
                <w:rFonts w:ascii="Century Gothic" w:hAnsi="Century Gothic" w:cs="Calibri"/>
              </w:rPr>
              <w:t xml:space="preserve"> 1, 202</w:t>
            </w:r>
            <w:r w:rsidR="00517B60" w:rsidRPr="00A91BF9">
              <w:rPr>
                <w:rFonts w:ascii="Century Gothic" w:hAnsi="Century Gothic" w:cs="Calibri"/>
              </w:rPr>
              <w:t>2</w:t>
            </w:r>
          </w:p>
        </w:tc>
      </w:tr>
      <w:tr w:rsidR="00501AE2" w:rsidRPr="00A91BF9" w14:paraId="34449C6F" w14:textId="77777777" w:rsidTr="002C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1A3CF378" w14:textId="77777777" w:rsidR="00764CCE" w:rsidRPr="00A91BF9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A91BF9">
              <w:rPr>
                <w:rFonts w:ascii="Century Gothic" w:hAnsi="Century Gothic" w:cs="Calibri"/>
                <w:b w:val="0"/>
                <w:bCs w:val="0"/>
              </w:rPr>
              <w:t>Average monthly residential non-CARE gas bill</w:t>
            </w:r>
          </w:p>
        </w:tc>
        <w:tc>
          <w:tcPr>
            <w:tcW w:w="1728" w:type="dxa"/>
            <w:vAlign w:val="center"/>
          </w:tcPr>
          <w:p w14:paraId="2F54FEB0" w14:textId="3966E665" w:rsidR="00764CCE" w:rsidRPr="00A91BF9" w:rsidRDefault="00E6680E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/>
              </w:rPr>
              <w:t xml:space="preserve"> </w:t>
            </w:r>
            <w:r w:rsidRPr="00A91BF9">
              <w:rPr>
                <w:rFonts w:ascii="Century Gothic" w:hAnsi="Century Gothic" w:cs="Calibri"/>
              </w:rPr>
              <w:t>$4</w:t>
            </w:r>
            <w:r w:rsidR="0078316C" w:rsidRPr="00A91BF9">
              <w:rPr>
                <w:rFonts w:ascii="Century Gothic" w:hAnsi="Century Gothic" w:cs="Calibri"/>
              </w:rPr>
              <w:t>6</w:t>
            </w:r>
            <w:r w:rsidRPr="00A91BF9">
              <w:rPr>
                <w:rFonts w:ascii="Century Gothic" w:hAnsi="Century Gothic" w:cs="Calibri"/>
              </w:rPr>
              <w:t>.</w:t>
            </w:r>
            <w:r w:rsidR="0078316C" w:rsidRPr="00A91BF9">
              <w:rPr>
                <w:rFonts w:ascii="Century Gothic" w:hAnsi="Century Gothic" w:cs="Calibri"/>
              </w:rPr>
              <w:t>7</w:t>
            </w:r>
            <w:r w:rsidR="00F6366C" w:rsidRPr="00A91BF9">
              <w:rPr>
                <w:rFonts w:ascii="Century Gothic" w:hAnsi="Century Gothic" w:cs="Calibri"/>
              </w:rPr>
              <w:t>6</w:t>
            </w:r>
            <w:r w:rsidRPr="00A91BF9">
              <w:rPr>
                <w:rFonts w:ascii="Century Gothic" w:hAnsi="Century Gothic" w:cs="Calibri"/>
              </w:rPr>
              <w:t xml:space="preserve"> </w:t>
            </w:r>
            <w:r w:rsidR="00764CCE" w:rsidRPr="00A91BF9">
              <w:rPr>
                <w:rStyle w:val="FootnoteReference"/>
                <w:rFonts w:ascii="Century Gothic" w:hAnsi="Century Gothic" w:cs="Calibri"/>
              </w:rPr>
              <w:footnoteReference w:id="3"/>
            </w:r>
          </w:p>
        </w:tc>
        <w:tc>
          <w:tcPr>
            <w:tcW w:w="1800" w:type="dxa"/>
            <w:vAlign w:val="center"/>
          </w:tcPr>
          <w:p w14:paraId="6ABB7356" w14:textId="167C8433" w:rsidR="00764CCE" w:rsidRPr="00A91BF9" w:rsidRDefault="001A21DB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/>
              </w:rPr>
              <w:t xml:space="preserve"> </w:t>
            </w:r>
            <w:r w:rsidRPr="00A91BF9">
              <w:rPr>
                <w:rFonts w:ascii="Century Gothic" w:hAnsi="Century Gothic" w:cs="Calibri"/>
              </w:rPr>
              <w:t>$</w:t>
            </w:r>
            <w:r w:rsidR="00517B60" w:rsidRPr="00A91BF9">
              <w:rPr>
                <w:rFonts w:ascii="Century Gothic" w:hAnsi="Century Gothic" w:cs="Calibri"/>
              </w:rPr>
              <w:t>58</w:t>
            </w:r>
            <w:r w:rsidRPr="00A91BF9">
              <w:rPr>
                <w:rFonts w:ascii="Century Gothic" w:hAnsi="Century Gothic" w:cs="Calibri"/>
              </w:rPr>
              <w:t>.</w:t>
            </w:r>
            <w:r w:rsidR="00517B60" w:rsidRPr="00A91BF9">
              <w:rPr>
                <w:rFonts w:ascii="Century Gothic" w:hAnsi="Century Gothic" w:cs="Calibri"/>
              </w:rPr>
              <w:t>7</w:t>
            </w:r>
            <w:r w:rsidR="00F6366C" w:rsidRPr="00A91BF9">
              <w:rPr>
                <w:rFonts w:ascii="Century Gothic" w:hAnsi="Century Gothic" w:cs="Calibri"/>
              </w:rPr>
              <w:t>5</w:t>
            </w:r>
            <w:r w:rsidRPr="00A91BF9">
              <w:rPr>
                <w:rFonts w:ascii="Century Gothic" w:hAnsi="Century Gothic" w:cs="Calibri"/>
              </w:rPr>
              <w:t xml:space="preserve"> </w:t>
            </w:r>
            <w:r w:rsidR="00764CCE" w:rsidRPr="00A91BF9">
              <w:rPr>
                <w:rStyle w:val="FootnoteReference"/>
                <w:rFonts w:ascii="Century Gothic" w:hAnsi="Century Gothic" w:cs="Calibri"/>
              </w:rPr>
              <w:footnoteReference w:id="4"/>
            </w:r>
          </w:p>
        </w:tc>
      </w:tr>
      <w:tr w:rsidR="00501AE2" w:rsidRPr="00A91BF9" w14:paraId="4CBA01C4" w14:textId="77777777" w:rsidTr="002C1F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47322145" w14:textId="23A23022" w:rsidR="00764CCE" w:rsidRPr="00A91BF9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A91BF9">
              <w:rPr>
                <w:rFonts w:ascii="Century Gothic" w:hAnsi="Century Gothic" w:cs="Calibri"/>
                <w:b w:val="0"/>
                <w:bCs w:val="0"/>
              </w:rPr>
              <w:t xml:space="preserve">Average monthly residential non-CARE gas bill </w:t>
            </w:r>
            <w:r w:rsidR="00501AE2" w:rsidRPr="00A91BF9">
              <w:rPr>
                <w:rFonts w:ascii="Century Gothic" w:hAnsi="Century Gothic" w:cs="Calibri"/>
                <w:b w:val="0"/>
                <w:bCs w:val="0"/>
              </w:rPr>
              <w:t>increase</w:t>
            </w:r>
          </w:p>
        </w:tc>
        <w:tc>
          <w:tcPr>
            <w:tcW w:w="1728" w:type="dxa"/>
            <w:vAlign w:val="center"/>
          </w:tcPr>
          <w:p w14:paraId="693330D3" w14:textId="3CFF0F97" w:rsidR="00764CCE" w:rsidRPr="00A91BF9" w:rsidRDefault="00764CCE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 w:cs="Calibri"/>
              </w:rPr>
              <w:t>$</w:t>
            </w:r>
            <w:r w:rsidR="0078316C" w:rsidRPr="00A91BF9">
              <w:rPr>
                <w:rFonts w:ascii="Century Gothic" w:hAnsi="Century Gothic" w:cs="Calibri"/>
              </w:rPr>
              <w:t>5</w:t>
            </w:r>
            <w:r w:rsidR="00E6680E" w:rsidRPr="00A91BF9">
              <w:rPr>
                <w:rFonts w:ascii="Century Gothic" w:hAnsi="Century Gothic" w:cs="Calibri"/>
              </w:rPr>
              <w:t>.</w:t>
            </w:r>
            <w:r w:rsidR="0078316C" w:rsidRPr="00A91BF9">
              <w:rPr>
                <w:rFonts w:ascii="Century Gothic" w:hAnsi="Century Gothic" w:cs="Calibri"/>
              </w:rPr>
              <w:t>2</w:t>
            </w:r>
            <w:r w:rsidR="00F6366C" w:rsidRPr="00A91BF9">
              <w:rPr>
                <w:rFonts w:ascii="Century Gothic" w:hAnsi="Century Gothic" w:cs="Calibri"/>
              </w:rPr>
              <w:t>5</w:t>
            </w:r>
            <w:r w:rsidRPr="00A91BF9">
              <w:rPr>
                <w:rFonts w:ascii="Century Gothic" w:hAnsi="Century Gothic" w:cs="Calibri"/>
              </w:rPr>
              <w:t xml:space="preserve"> or </w:t>
            </w:r>
            <w:r w:rsidR="0078316C" w:rsidRPr="00A91BF9">
              <w:rPr>
                <w:rFonts w:ascii="Century Gothic" w:hAnsi="Century Gothic" w:cs="Calibri"/>
              </w:rPr>
              <w:t>12</w:t>
            </w:r>
            <w:r w:rsidR="00E6680E" w:rsidRPr="00A91BF9">
              <w:rPr>
                <w:rFonts w:ascii="Century Gothic" w:hAnsi="Century Gothic" w:cs="Calibri"/>
              </w:rPr>
              <w:t>.</w:t>
            </w:r>
            <w:r w:rsidR="0078316C" w:rsidRPr="00A91BF9">
              <w:rPr>
                <w:rFonts w:ascii="Century Gothic" w:hAnsi="Century Gothic" w:cs="Calibri"/>
              </w:rPr>
              <w:t>6</w:t>
            </w:r>
            <w:r w:rsidRPr="00A91BF9">
              <w:rPr>
                <w:rFonts w:ascii="Century Gothic" w:hAnsi="Century Gothic" w:cs="Calibri"/>
              </w:rPr>
              <w:t>%</w:t>
            </w:r>
          </w:p>
        </w:tc>
        <w:tc>
          <w:tcPr>
            <w:tcW w:w="1800" w:type="dxa"/>
            <w:vAlign w:val="center"/>
          </w:tcPr>
          <w:p w14:paraId="6BE509E8" w14:textId="6E0D47D3" w:rsidR="00764CCE" w:rsidRPr="00A91BF9" w:rsidRDefault="00764CCE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 w:cs="Calibri"/>
              </w:rPr>
              <w:t>$</w:t>
            </w:r>
            <w:r w:rsidR="0078316C" w:rsidRPr="00A91BF9">
              <w:rPr>
                <w:rFonts w:ascii="Century Gothic" w:hAnsi="Century Gothic" w:cs="Calibri"/>
              </w:rPr>
              <w:t>7</w:t>
            </w:r>
            <w:r w:rsidR="00501AE2" w:rsidRPr="00A91BF9">
              <w:rPr>
                <w:rFonts w:ascii="Century Gothic" w:hAnsi="Century Gothic" w:cs="Calibri"/>
              </w:rPr>
              <w:t>.</w:t>
            </w:r>
            <w:r w:rsidR="0078316C" w:rsidRPr="00A91BF9">
              <w:rPr>
                <w:rFonts w:ascii="Century Gothic" w:hAnsi="Century Gothic" w:cs="Calibri"/>
              </w:rPr>
              <w:t>3</w:t>
            </w:r>
            <w:r w:rsidR="00F6366C" w:rsidRPr="00A91BF9">
              <w:rPr>
                <w:rFonts w:ascii="Century Gothic" w:hAnsi="Century Gothic" w:cs="Calibri"/>
              </w:rPr>
              <w:t>8</w:t>
            </w:r>
            <w:r w:rsidRPr="00A91BF9">
              <w:rPr>
                <w:rFonts w:ascii="Century Gothic" w:hAnsi="Century Gothic" w:cs="Calibri"/>
              </w:rPr>
              <w:t xml:space="preserve"> or </w:t>
            </w:r>
            <w:r w:rsidR="00517B60" w:rsidRPr="00A91BF9">
              <w:rPr>
                <w:rFonts w:ascii="Century Gothic" w:hAnsi="Century Gothic" w:cs="Calibri"/>
              </w:rPr>
              <w:t>14.</w:t>
            </w:r>
            <w:r w:rsidR="00F6366C" w:rsidRPr="00A91BF9">
              <w:rPr>
                <w:rFonts w:ascii="Century Gothic" w:hAnsi="Century Gothic" w:cs="Calibri"/>
              </w:rPr>
              <w:t>4</w:t>
            </w:r>
            <w:r w:rsidR="00501AE2" w:rsidRPr="00A91BF9">
              <w:rPr>
                <w:rFonts w:ascii="Century Gothic" w:hAnsi="Century Gothic" w:cs="Calibri"/>
              </w:rPr>
              <w:t>%</w:t>
            </w:r>
          </w:p>
        </w:tc>
      </w:tr>
      <w:tr w:rsidR="00501AE2" w:rsidRPr="00A91BF9" w14:paraId="00D049EE" w14:textId="77777777" w:rsidTr="002C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16E2990B" w14:textId="77777777" w:rsidR="00764CCE" w:rsidRPr="00A91BF9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A91BF9">
              <w:rPr>
                <w:rFonts w:ascii="Century Gothic" w:hAnsi="Century Gothic" w:cs="Calibri"/>
                <w:b w:val="0"/>
                <w:bCs w:val="0"/>
              </w:rPr>
              <w:t>Average monthly residential CARE gas bill</w:t>
            </w:r>
          </w:p>
        </w:tc>
        <w:tc>
          <w:tcPr>
            <w:tcW w:w="1728" w:type="dxa"/>
            <w:vAlign w:val="center"/>
          </w:tcPr>
          <w:p w14:paraId="0E15F080" w14:textId="6B6F68E6" w:rsidR="00764CCE" w:rsidRPr="00A91BF9" w:rsidRDefault="00E6680E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/>
              </w:rPr>
              <w:t xml:space="preserve"> </w:t>
            </w:r>
            <w:r w:rsidRPr="00A91BF9">
              <w:rPr>
                <w:rFonts w:ascii="Century Gothic" w:hAnsi="Century Gothic" w:cs="Calibri"/>
              </w:rPr>
              <w:t>$</w:t>
            </w:r>
            <w:r w:rsidR="0078316C" w:rsidRPr="00A91BF9">
              <w:rPr>
                <w:rFonts w:ascii="Century Gothic" w:hAnsi="Century Gothic" w:cs="Calibri"/>
              </w:rPr>
              <w:t>30</w:t>
            </w:r>
            <w:r w:rsidRPr="00A91BF9">
              <w:rPr>
                <w:rFonts w:ascii="Century Gothic" w:hAnsi="Century Gothic" w:cs="Calibri"/>
              </w:rPr>
              <w:t>.</w:t>
            </w:r>
            <w:r w:rsidR="00F6366C" w:rsidRPr="00A91BF9">
              <w:rPr>
                <w:rFonts w:ascii="Century Gothic" w:hAnsi="Century Gothic" w:cs="Calibri"/>
              </w:rPr>
              <w:t>50</w:t>
            </w:r>
            <w:r w:rsidR="00436886" w:rsidRPr="00A91BF9">
              <w:rPr>
                <w:rFonts w:ascii="Century Gothic" w:hAnsi="Century Gothic" w:cs="Calibri"/>
              </w:rPr>
              <w:t xml:space="preserve"> </w:t>
            </w:r>
            <w:r w:rsidR="00814514" w:rsidRPr="00A91BF9">
              <w:rPr>
                <w:rStyle w:val="FootnoteReference"/>
                <w:rFonts w:ascii="Century Gothic" w:hAnsi="Century Gothic" w:cs="Calibri"/>
              </w:rPr>
              <w:footnoteReference w:id="5"/>
            </w:r>
          </w:p>
        </w:tc>
        <w:tc>
          <w:tcPr>
            <w:tcW w:w="1800" w:type="dxa"/>
            <w:vAlign w:val="center"/>
          </w:tcPr>
          <w:p w14:paraId="7AB80622" w14:textId="08EF0612" w:rsidR="00764CCE" w:rsidRPr="00A91BF9" w:rsidRDefault="001A21DB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/>
              </w:rPr>
              <w:t xml:space="preserve"> </w:t>
            </w:r>
            <w:r w:rsidRPr="00A91BF9">
              <w:rPr>
                <w:rFonts w:ascii="Century Gothic" w:hAnsi="Century Gothic" w:cs="Calibri"/>
              </w:rPr>
              <w:t>$</w:t>
            </w:r>
            <w:r w:rsidR="00517B60" w:rsidRPr="00A91BF9">
              <w:rPr>
                <w:rFonts w:ascii="Century Gothic" w:hAnsi="Century Gothic" w:cs="Calibri"/>
              </w:rPr>
              <w:t>34</w:t>
            </w:r>
            <w:r w:rsidRPr="00A91BF9">
              <w:rPr>
                <w:rFonts w:ascii="Century Gothic" w:hAnsi="Century Gothic" w:cs="Calibri"/>
              </w:rPr>
              <w:t>.</w:t>
            </w:r>
            <w:r w:rsidR="00517B60" w:rsidRPr="00A91BF9">
              <w:rPr>
                <w:rFonts w:ascii="Century Gothic" w:hAnsi="Century Gothic" w:cs="Calibri"/>
              </w:rPr>
              <w:t>4</w:t>
            </w:r>
            <w:r w:rsidR="00F6366C" w:rsidRPr="00A91BF9">
              <w:rPr>
                <w:rFonts w:ascii="Century Gothic" w:hAnsi="Century Gothic" w:cs="Calibri"/>
              </w:rPr>
              <w:t>8</w:t>
            </w:r>
            <w:r w:rsidR="00436886" w:rsidRPr="00A91BF9">
              <w:rPr>
                <w:rFonts w:ascii="Century Gothic" w:hAnsi="Century Gothic" w:cs="Calibri"/>
              </w:rPr>
              <w:t xml:space="preserve"> </w:t>
            </w:r>
            <w:r w:rsidR="00EB7799" w:rsidRPr="00A91BF9">
              <w:rPr>
                <w:rStyle w:val="FootnoteReference"/>
                <w:rFonts w:ascii="Century Gothic" w:hAnsi="Century Gothic" w:cs="Calibri"/>
              </w:rPr>
              <w:footnoteReference w:id="6"/>
            </w:r>
          </w:p>
        </w:tc>
      </w:tr>
      <w:tr w:rsidR="00501AE2" w:rsidRPr="00A91BF9" w14:paraId="2B7EB272" w14:textId="77777777" w:rsidTr="00A47DBF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51B0E170" w14:textId="66B58F95" w:rsidR="00764CCE" w:rsidRPr="00A91BF9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A91BF9">
              <w:rPr>
                <w:rFonts w:ascii="Century Gothic" w:hAnsi="Century Gothic" w:cs="Calibri"/>
                <w:b w:val="0"/>
                <w:bCs w:val="0"/>
              </w:rPr>
              <w:t>Average monthly residential CARE gas bill increase</w:t>
            </w:r>
          </w:p>
        </w:tc>
        <w:tc>
          <w:tcPr>
            <w:tcW w:w="1728" w:type="dxa"/>
            <w:vAlign w:val="center"/>
          </w:tcPr>
          <w:p w14:paraId="09C56573" w14:textId="1E8AF6B1" w:rsidR="00764CCE" w:rsidRPr="00A91BF9" w:rsidRDefault="00764CCE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 w:cs="Calibri"/>
              </w:rPr>
              <w:t>$</w:t>
            </w:r>
            <w:r w:rsidR="0078316C" w:rsidRPr="00A91BF9">
              <w:rPr>
                <w:rFonts w:ascii="Century Gothic" w:hAnsi="Century Gothic" w:cs="Calibri"/>
              </w:rPr>
              <w:t>3</w:t>
            </w:r>
            <w:r w:rsidR="00501AE2" w:rsidRPr="00A91BF9">
              <w:rPr>
                <w:rFonts w:ascii="Century Gothic" w:hAnsi="Century Gothic" w:cs="Calibri"/>
              </w:rPr>
              <w:t>.</w:t>
            </w:r>
            <w:r w:rsidR="0078316C" w:rsidRPr="00A91BF9">
              <w:rPr>
                <w:rFonts w:ascii="Century Gothic" w:hAnsi="Century Gothic" w:cs="Calibri"/>
              </w:rPr>
              <w:t>5</w:t>
            </w:r>
            <w:r w:rsidR="00F6366C" w:rsidRPr="00A91BF9">
              <w:rPr>
                <w:rFonts w:ascii="Century Gothic" w:hAnsi="Century Gothic" w:cs="Calibri"/>
              </w:rPr>
              <w:t>8</w:t>
            </w:r>
            <w:r w:rsidRPr="00A91BF9">
              <w:rPr>
                <w:rFonts w:ascii="Century Gothic" w:hAnsi="Century Gothic" w:cs="Calibri"/>
              </w:rPr>
              <w:t xml:space="preserve"> or </w:t>
            </w:r>
            <w:r w:rsidR="0078316C" w:rsidRPr="00A91BF9">
              <w:rPr>
                <w:rFonts w:ascii="Century Gothic" w:hAnsi="Century Gothic" w:cs="Calibri"/>
              </w:rPr>
              <w:t>1</w:t>
            </w:r>
            <w:r w:rsidR="00E6680E" w:rsidRPr="00A91BF9">
              <w:rPr>
                <w:rFonts w:ascii="Century Gothic" w:hAnsi="Century Gothic" w:cs="Calibri"/>
              </w:rPr>
              <w:t>3</w:t>
            </w:r>
            <w:r w:rsidR="00501AE2" w:rsidRPr="00A91BF9">
              <w:rPr>
                <w:rFonts w:ascii="Century Gothic" w:hAnsi="Century Gothic" w:cs="Calibri"/>
              </w:rPr>
              <w:t>.</w:t>
            </w:r>
            <w:r w:rsidR="0078316C" w:rsidRPr="00A91BF9">
              <w:rPr>
                <w:rFonts w:ascii="Century Gothic" w:hAnsi="Century Gothic" w:cs="Calibri"/>
              </w:rPr>
              <w:t>3</w:t>
            </w:r>
            <w:r w:rsidRPr="00A91BF9">
              <w:rPr>
                <w:rFonts w:ascii="Century Gothic" w:hAnsi="Century Gothic" w:cs="Calibri"/>
              </w:rPr>
              <w:t>%</w:t>
            </w:r>
          </w:p>
        </w:tc>
        <w:tc>
          <w:tcPr>
            <w:tcW w:w="1800" w:type="dxa"/>
            <w:vAlign w:val="center"/>
          </w:tcPr>
          <w:p w14:paraId="74D1B0F6" w14:textId="5677B666" w:rsidR="00764CCE" w:rsidRPr="00A91BF9" w:rsidRDefault="0078316C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A91BF9">
              <w:rPr>
                <w:rFonts w:ascii="Century Gothic" w:hAnsi="Century Gothic" w:cs="Calibri"/>
              </w:rPr>
              <w:t>$4.2</w:t>
            </w:r>
            <w:r w:rsidR="00F6366C" w:rsidRPr="00A91BF9">
              <w:rPr>
                <w:rFonts w:ascii="Century Gothic" w:hAnsi="Century Gothic" w:cs="Calibri"/>
              </w:rPr>
              <w:t>9</w:t>
            </w:r>
            <w:r w:rsidRPr="00A91BF9">
              <w:rPr>
                <w:rFonts w:ascii="Century Gothic" w:hAnsi="Century Gothic" w:cs="Calibri"/>
              </w:rPr>
              <w:t xml:space="preserve"> or 14.</w:t>
            </w:r>
            <w:r w:rsidR="00F6366C" w:rsidRPr="00A91BF9">
              <w:rPr>
                <w:rFonts w:ascii="Century Gothic" w:hAnsi="Century Gothic" w:cs="Calibri"/>
              </w:rPr>
              <w:t>2</w:t>
            </w:r>
            <w:r w:rsidRPr="00A91BF9">
              <w:rPr>
                <w:rFonts w:ascii="Century Gothic" w:hAnsi="Century Gothic" w:cs="Calibri"/>
              </w:rPr>
              <w:t>%</w:t>
            </w:r>
          </w:p>
        </w:tc>
      </w:tr>
      <w:bookmarkEnd w:id="2"/>
    </w:tbl>
    <w:p w14:paraId="0E0EBC01" w14:textId="2DB5AC6D" w:rsidR="00BA11E4" w:rsidRPr="00A91BF9" w:rsidRDefault="00BA11E4" w:rsidP="00BA11E4">
      <w:pPr>
        <w:ind w:firstLine="0"/>
        <w:rPr>
          <w:rFonts w:ascii="Century Gothic" w:hAnsi="Century Gothic" w:cs="Calibri"/>
        </w:rPr>
      </w:pPr>
    </w:p>
    <w:p w14:paraId="69F94FED" w14:textId="75D8FBB1" w:rsidR="009A6C98" w:rsidRPr="00A91BF9" w:rsidRDefault="009A6C98" w:rsidP="009A6C98">
      <w:pPr>
        <w:ind w:firstLine="0"/>
        <w:rPr>
          <w:rFonts w:ascii="Century Gothic" w:hAnsi="Century Gothic" w:cs="Calibri"/>
        </w:rPr>
      </w:pPr>
      <w:bookmarkStart w:id="5" w:name="_Hlk37939246"/>
      <w:bookmarkStart w:id="6" w:name="_Hlk58921683"/>
      <w:r w:rsidRPr="00A91BF9">
        <w:rPr>
          <w:rFonts w:ascii="Century Gothic" w:hAnsi="Century Gothic" w:cs="Calibri"/>
        </w:rPr>
        <w:t xml:space="preserve">SoCalGas and SDG&amp;E’s Advice Letters </w:t>
      </w:r>
      <w:r w:rsidR="00F60EB5">
        <w:rPr>
          <w:rFonts w:ascii="Century Gothic" w:hAnsi="Century Gothic" w:cs="Calibri"/>
        </w:rPr>
        <w:t xml:space="preserve">will </w:t>
      </w:r>
      <w:r w:rsidRPr="00A91BF9">
        <w:rPr>
          <w:rFonts w:ascii="Century Gothic" w:hAnsi="Century Gothic" w:cs="Calibri"/>
        </w:rPr>
        <w:t xml:space="preserve">consolidate several previously approved advice letters and decisions that reflect </w:t>
      </w:r>
      <w:r w:rsidR="00B3510B" w:rsidRPr="00A91BF9">
        <w:rPr>
          <w:rFonts w:ascii="Century Gothic" w:hAnsi="Century Gothic" w:cs="Calibri"/>
        </w:rPr>
        <w:t xml:space="preserve">authorized </w:t>
      </w:r>
      <w:r w:rsidRPr="00A91BF9">
        <w:rPr>
          <w:rFonts w:ascii="Century Gothic" w:hAnsi="Century Gothic" w:cs="Calibri"/>
        </w:rPr>
        <w:t>gas revenue and rate changes</w:t>
      </w:r>
      <w:r w:rsidR="00F60EB5">
        <w:rPr>
          <w:rFonts w:ascii="Century Gothic" w:hAnsi="Century Gothic" w:cs="Calibri"/>
        </w:rPr>
        <w:t xml:space="preserve">, and are estimated </w:t>
      </w:r>
      <w:r w:rsidR="00443CAD" w:rsidRPr="00A91BF9">
        <w:rPr>
          <w:rFonts w:ascii="Century Gothic" w:hAnsi="Century Gothic" w:cs="Calibri"/>
        </w:rPr>
        <w:t>as follows:</w:t>
      </w:r>
    </w:p>
    <w:p w14:paraId="77AC386A" w14:textId="77777777" w:rsidR="009A6C98" w:rsidRPr="00A91BF9" w:rsidRDefault="009A6C98" w:rsidP="009A6C98">
      <w:pPr>
        <w:ind w:firstLine="0"/>
        <w:rPr>
          <w:rFonts w:ascii="Century Gothic" w:hAnsi="Century Gothic" w:cs="Calibri"/>
          <w:b/>
          <w:bCs/>
        </w:rPr>
      </w:pPr>
    </w:p>
    <w:p w14:paraId="41BD034E" w14:textId="37327D22" w:rsidR="00522DAA" w:rsidRPr="00A91BF9" w:rsidRDefault="009C2E65" w:rsidP="00943AA0">
      <w:pPr>
        <w:pStyle w:val="ListParagraph"/>
        <w:numPr>
          <w:ilvl w:val="0"/>
          <w:numId w:val="27"/>
        </w:numPr>
        <w:rPr>
          <w:rFonts w:ascii="Century Gothic" w:hAnsi="Century Gothic" w:cs="Calibri"/>
          <w:b/>
          <w:bCs/>
        </w:rPr>
      </w:pPr>
      <w:r w:rsidRPr="00A91BF9">
        <w:rPr>
          <w:rFonts w:ascii="Century Gothic" w:hAnsi="Century Gothic" w:cs="Calibri"/>
          <w:b/>
          <w:bCs/>
        </w:rPr>
        <w:t>SoCalGas</w:t>
      </w:r>
      <w:bookmarkStart w:id="7" w:name="_Hlk37939266"/>
      <w:bookmarkEnd w:id="5"/>
      <w:r w:rsidR="00943AA0" w:rsidRPr="00A91BF9">
        <w:rPr>
          <w:rFonts w:ascii="Century Gothic" w:hAnsi="Century Gothic" w:cs="Calibri"/>
          <w:b/>
          <w:bCs/>
        </w:rPr>
        <w:t xml:space="preserve">: </w:t>
      </w:r>
    </w:p>
    <w:p w14:paraId="7AFD360E" w14:textId="59548AF1" w:rsidR="00522DAA" w:rsidRPr="00A91BF9" w:rsidRDefault="00522DAA" w:rsidP="00522DAA">
      <w:pPr>
        <w:pStyle w:val="ListParagraph"/>
        <w:numPr>
          <w:ilvl w:val="0"/>
          <w:numId w:val="21"/>
        </w:numPr>
        <w:rPr>
          <w:rFonts w:ascii="Century Gothic" w:hAnsi="Century Gothic" w:cs="Calibri"/>
        </w:rPr>
      </w:pPr>
      <w:bookmarkStart w:id="8" w:name="_Hlk91585019"/>
      <w:bookmarkEnd w:id="6"/>
      <w:r w:rsidRPr="00A91BF9">
        <w:rPr>
          <w:rFonts w:ascii="Century Gothic" w:hAnsi="Century Gothic" w:cs="Calibri"/>
        </w:rPr>
        <w:t>Annual Regulatory Account Balance Update</w:t>
      </w:r>
      <w:bookmarkEnd w:id="8"/>
      <w:r w:rsidR="002F641D">
        <w:rPr>
          <w:rFonts w:ascii="Century Gothic" w:hAnsi="Century Gothic" w:cs="Calibri"/>
        </w:rPr>
        <w:t xml:space="preserve">: </w:t>
      </w:r>
      <w:r w:rsidR="00EE6524">
        <w:rPr>
          <w:rFonts w:ascii="Century Gothic" w:hAnsi="Century Gothic" w:cs="Calibri"/>
        </w:rPr>
        <w:t xml:space="preserve">revenue </w:t>
      </w:r>
      <w:r w:rsidR="00922834">
        <w:rPr>
          <w:rFonts w:ascii="Century Gothic" w:hAnsi="Century Gothic" w:cs="Calibri"/>
        </w:rPr>
        <w:t>increase</w:t>
      </w:r>
      <w:r w:rsidR="00EE6524">
        <w:rPr>
          <w:rFonts w:ascii="Century Gothic" w:hAnsi="Century Gothic" w:cs="Calibri"/>
        </w:rPr>
        <w:t xml:space="preserve"> of </w:t>
      </w:r>
      <w:r w:rsidR="00A348B1">
        <w:rPr>
          <w:rFonts w:ascii="Century Gothic" w:hAnsi="Century Gothic" w:cs="Calibri"/>
        </w:rPr>
        <w:t>$9</w:t>
      </w:r>
      <w:r w:rsidR="00922834">
        <w:rPr>
          <w:rFonts w:ascii="Century Gothic" w:hAnsi="Century Gothic" w:cs="Calibri"/>
        </w:rPr>
        <w:t>8</w:t>
      </w:r>
      <w:r w:rsidR="00A348B1">
        <w:rPr>
          <w:rFonts w:ascii="Century Gothic" w:hAnsi="Century Gothic" w:cs="Calibri"/>
        </w:rPr>
        <w:t xml:space="preserve"> </w:t>
      </w:r>
      <w:r w:rsidR="00A3613C">
        <w:rPr>
          <w:rFonts w:ascii="Century Gothic" w:hAnsi="Century Gothic" w:cs="Calibri"/>
        </w:rPr>
        <w:t xml:space="preserve">million by </w:t>
      </w:r>
      <w:r w:rsidRPr="00A91BF9">
        <w:rPr>
          <w:rFonts w:ascii="Century Gothic" w:hAnsi="Century Gothic" w:cs="Calibri"/>
        </w:rPr>
        <w:t xml:space="preserve">Advice Letter </w:t>
      </w:r>
      <w:r w:rsidR="0078316C" w:rsidRPr="00A91BF9">
        <w:rPr>
          <w:rFonts w:ascii="Century Gothic" w:hAnsi="Century Gothic" w:cs="Calibri"/>
        </w:rPr>
        <w:t>5884</w:t>
      </w:r>
      <w:r w:rsidR="00255AB7" w:rsidRPr="00A91BF9">
        <w:rPr>
          <w:rStyle w:val="FootnoteReference"/>
          <w:rFonts w:ascii="Century Gothic" w:hAnsi="Century Gothic" w:cs="Calibri"/>
        </w:rPr>
        <w:footnoteReference w:id="7"/>
      </w:r>
    </w:p>
    <w:p w14:paraId="3C11868D" w14:textId="48277114" w:rsidR="00522DAA" w:rsidRDefault="00522DAA" w:rsidP="00522DAA">
      <w:pPr>
        <w:pStyle w:val="ListParagraph"/>
        <w:numPr>
          <w:ilvl w:val="0"/>
          <w:numId w:val="21"/>
        </w:numPr>
        <w:rPr>
          <w:rFonts w:ascii="Century Gothic" w:hAnsi="Century Gothic" w:cs="Calibri"/>
        </w:rPr>
      </w:pPr>
      <w:r w:rsidRPr="00A91BF9">
        <w:rPr>
          <w:rFonts w:ascii="Century Gothic" w:hAnsi="Century Gothic" w:cs="Calibri"/>
        </w:rPr>
        <w:t>202</w:t>
      </w:r>
      <w:r w:rsidR="0078316C" w:rsidRPr="00A91BF9">
        <w:rPr>
          <w:rFonts w:ascii="Century Gothic" w:hAnsi="Century Gothic" w:cs="Calibri"/>
        </w:rPr>
        <w:t>2</w:t>
      </w:r>
      <w:r w:rsidRPr="00A91BF9">
        <w:rPr>
          <w:rFonts w:ascii="Century Gothic" w:hAnsi="Century Gothic" w:cs="Calibri"/>
        </w:rPr>
        <w:t xml:space="preserve"> GRC </w:t>
      </w:r>
      <w:r w:rsidR="00B3510B" w:rsidRPr="00A91BF9">
        <w:rPr>
          <w:rFonts w:ascii="Century Gothic" w:hAnsi="Century Gothic" w:cs="Calibri"/>
        </w:rPr>
        <w:t>Adjustment</w:t>
      </w:r>
      <w:r w:rsidR="002F641D">
        <w:rPr>
          <w:rFonts w:ascii="Century Gothic" w:hAnsi="Century Gothic" w:cs="Calibri"/>
        </w:rPr>
        <w:t xml:space="preserve">: </w:t>
      </w:r>
      <w:r w:rsidR="00A3613C">
        <w:rPr>
          <w:rFonts w:ascii="Century Gothic" w:hAnsi="Century Gothic" w:cs="Calibri"/>
        </w:rPr>
        <w:t>$</w:t>
      </w:r>
      <w:r w:rsidR="003664D6">
        <w:rPr>
          <w:rFonts w:ascii="Century Gothic" w:hAnsi="Century Gothic" w:cs="Calibri"/>
        </w:rPr>
        <w:t>142</w:t>
      </w:r>
      <w:r w:rsidR="00A3613C">
        <w:rPr>
          <w:rFonts w:ascii="Century Gothic" w:hAnsi="Century Gothic" w:cs="Calibri"/>
        </w:rPr>
        <w:t xml:space="preserve"> million</w:t>
      </w:r>
      <w:r w:rsidR="003664D6">
        <w:rPr>
          <w:rFonts w:ascii="Century Gothic" w:hAnsi="Century Gothic" w:cs="Calibri"/>
        </w:rPr>
        <w:t xml:space="preserve"> increase</w:t>
      </w:r>
      <w:r w:rsidR="00A348B1">
        <w:rPr>
          <w:rFonts w:ascii="Century Gothic" w:hAnsi="Century Gothic" w:cs="Calibri"/>
        </w:rPr>
        <w:t xml:space="preserve"> </w:t>
      </w:r>
      <w:r w:rsidR="003664D6">
        <w:rPr>
          <w:rFonts w:ascii="Century Gothic" w:hAnsi="Century Gothic" w:cs="Calibri"/>
        </w:rPr>
        <w:t xml:space="preserve"> - </w:t>
      </w:r>
      <w:r w:rsidRPr="00A91BF9">
        <w:rPr>
          <w:rFonts w:ascii="Century Gothic" w:hAnsi="Century Gothic" w:cs="Calibri"/>
        </w:rPr>
        <w:t xml:space="preserve"> </w:t>
      </w:r>
      <w:bookmarkStart w:id="9" w:name="_Hlk58922005"/>
      <w:r w:rsidR="00943AA0" w:rsidRPr="00A91BF9">
        <w:rPr>
          <w:rFonts w:ascii="Century Gothic" w:hAnsi="Century Gothic" w:cs="Calibri"/>
        </w:rPr>
        <w:t>D.19-09-051</w:t>
      </w:r>
      <w:bookmarkEnd w:id="9"/>
      <w:r w:rsidR="00943AA0" w:rsidRPr="00A91BF9">
        <w:rPr>
          <w:rFonts w:ascii="Century Gothic" w:hAnsi="Century Gothic" w:cs="Calibri"/>
        </w:rPr>
        <w:t xml:space="preserve">, </w:t>
      </w:r>
      <w:r w:rsidR="003664D6" w:rsidRPr="003664D6">
        <w:rPr>
          <w:rFonts w:ascii="Century Gothic" w:hAnsi="Century Gothic" w:cs="Calibri"/>
        </w:rPr>
        <w:t>AL 5892</w:t>
      </w:r>
    </w:p>
    <w:p w14:paraId="3AF7B243" w14:textId="55CFC5E7" w:rsidR="003664D6" w:rsidRDefault="003664D6" w:rsidP="003664D6">
      <w:pPr>
        <w:pStyle w:val="ListParagraph"/>
        <w:numPr>
          <w:ilvl w:val="0"/>
          <w:numId w:val="21"/>
        </w:numPr>
        <w:rPr>
          <w:rFonts w:ascii="Century Gothic" w:hAnsi="Century Gothic" w:cs="Calibri"/>
        </w:rPr>
      </w:pPr>
      <w:r w:rsidRPr="003664D6">
        <w:rPr>
          <w:rFonts w:ascii="Century Gothic" w:hAnsi="Century Gothic" w:cs="Calibri"/>
        </w:rPr>
        <w:t>Implementation of revenue requirement adjustments</w:t>
      </w:r>
      <w:r w:rsidR="002F641D">
        <w:rPr>
          <w:rFonts w:ascii="Century Gothic" w:hAnsi="Century Gothic" w:cs="Calibri"/>
        </w:rPr>
        <w:t>:</w:t>
      </w:r>
      <w:r w:rsidRPr="003664D6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$5.8 million decrease - </w:t>
      </w:r>
      <w:r w:rsidRPr="003664D6">
        <w:rPr>
          <w:rFonts w:ascii="Century Gothic" w:hAnsi="Century Gothic" w:cs="Calibri"/>
        </w:rPr>
        <w:t>GRC D. 21-05-003, AL</w:t>
      </w:r>
      <w:r w:rsidR="002F641D">
        <w:rPr>
          <w:rFonts w:ascii="Century Gothic" w:hAnsi="Century Gothic" w:cs="Calibri"/>
        </w:rPr>
        <w:t xml:space="preserve"> </w:t>
      </w:r>
      <w:r w:rsidRPr="003664D6">
        <w:rPr>
          <w:rFonts w:ascii="Century Gothic" w:hAnsi="Century Gothic" w:cs="Calibri"/>
        </w:rPr>
        <w:t>5842</w:t>
      </w:r>
    </w:p>
    <w:p w14:paraId="254C585C" w14:textId="6099DAA9" w:rsidR="003664D6" w:rsidRDefault="003664D6" w:rsidP="003664D6">
      <w:pPr>
        <w:pStyle w:val="ListParagraph"/>
        <w:numPr>
          <w:ilvl w:val="0"/>
          <w:numId w:val="21"/>
        </w:numPr>
        <w:rPr>
          <w:rFonts w:ascii="Century Gothic" w:hAnsi="Century Gothic" w:cs="Calibri"/>
        </w:rPr>
      </w:pPr>
      <w:r w:rsidRPr="003664D6">
        <w:rPr>
          <w:rFonts w:ascii="Century Gothic" w:hAnsi="Century Gothic" w:cs="Calibri"/>
        </w:rPr>
        <w:t>Reversal of 2018</w:t>
      </w:r>
      <w:r w:rsidR="00675C39" w:rsidRPr="00675C39">
        <w:t xml:space="preserve"> </w:t>
      </w:r>
      <w:r w:rsidR="00675C39" w:rsidRPr="00675C39">
        <w:rPr>
          <w:rFonts w:ascii="Century Gothic" w:hAnsi="Century Gothic" w:cs="Calibri"/>
        </w:rPr>
        <w:t>Tax Cuts and Jobs Act</w:t>
      </w:r>
      <w:r w:rsidR="00675C39">
        <w:rPr>
          <w:rFonts w:ascii="Century Gothic" w:hAnsi="Century Gothic" w:cs="Calibri"/>
        </w:rPr>
        <w:t>(</w:t>
      </w:r>
      <w:r w:rsidRPr="003664D6">
        <w:rPr>
          <w:rFonts w:ascii="Century Gothic" w:hAnsi="Century Gothic" w:cs="Calibri"/>
        </w:rPr>
        <w:t>TCJA</w:t>
      </w:r>
      <w:r w:rsidR="00675C39">
        <w:rPr>
          <w:rFonts w:ascii="Century Gothic" w:hAnsi="Century Gothic" w:cs="Calibri"/>
        </w:rPr>
        <w:t xml:space="preserve">) </w:t>
      </w:r>
      <w:r w:rsidRPr="003664D6">
        <w:rPr>
          <w:rFonts w:ascii="Century Gothic" w:hAnsi="Century Gothic" w:cs="Calibri"/>
        </w:rPr>
        <w:t>related Tax Savings Amount</w:t>
      </w:r>
      <w:r w:rsidR="002F641D">
        <w:rPr>
          <w:rFonts w:ascii="Century Gothic" w:hAnsi="Century Gothic" w:cs="Calibri"/>
        </w:rPr>
        <w:t xml:space="preserve">: </w:t>
      </w:r>
      <w:r>
        <w:rPr>
          <w:rFonts w:ascii="Century Gothic" w:hAnsi="Century Gothic" w:cs="Calibri"/>
        </w:rPr>
        <w:t xml:space="preserve">increase of $37.6 million – AL </w:t>
      </w:r>
      <w:r w:rsidRPr="003664D6">
        <w:rPr>
          <w:rFonts w:ascii="Century Gothic" w:hAnsi="Century Gothic" w:cs="Calibri"/>
        </w:rPr>
        <w:t>5541</w:t>
      </w:r>
    </w:p>
    <w:p w14:paraId="09668035" w14:textId="29EDD7D8" w:rsidR="002F641D" w:rsidRPr="002F641D" w:rsidRDefault="002F641D" w:rsidP="002F641D">
      <w:pPr>
        <w:pStyle w:val="ListParagraph"/>
        <w:numPr>
          <w:ilvl w:val="0"/>
          <w:numId w:val="21"/>
        </w:numPr>
        <w:rPr>
          <w:rFonts w:ascii="Century Gothic" w:hAnsi="Century Gothic" w:cs="Calibri"/>
        </w:rPr>
      </w:pPr>
      <w:r w:rsidRPr="002F641D">
        <w:rPr>
          <w:rFonts w:ascii="Century Gothic" w:hAnsi="Century Gothic" w:cs="Calibri"/>
        </w:rPr>
        <w:t>Natural Gas Leak Abatement:  $</w:t>
      </w:r>
      <w:r>
        <w:rPr>
          <w:rFonts w:ascii="Century Gothic" w:hAnsi="Century Gothic" w:cs="Calibri"/>
        </w:rPr>
        <w:t>4.5</w:t>
      </w:r>
      <w:r w:rsidRPr="002F641D">
        <w:rPr>
          <w:rFonts w:ascii="Century Gothic" w:hAnsi="Century Gothic" w:cs="Calibri"/>
        </w:rPr>
        <w:t xml:space="preserve"> million</w:t>
      </w:r>
      <w:r>
        <w:rPr>
          <w:rFonts w:ascii="Century Gothic" w:hAnsi="Century Gothic" w:cs="Calibri"/>
        </w:rPr>
        <w:t xml:space="preserve"> increase</w:t>
      </w:r>
      <w:r w:rsidRPr="002F641D">
        <w:rPr>
          <w:rFonts w:ascii="Century Gothic" w:hAnsi="Century Gothic" w:cs="Calibri"/>
        </w:rPr>
        <w:t xml:space="preserve"> per Resolution G-357</w:t>
      </w:r>
      <w:r w:rsidR="00692345">
        <w:rPr>
          <w:rFonts w:ascii="Century Gothic" w:hAnsi="Century Gothic" w:cs="Calibri"/>
        </w:rPr>
        <w:t>6</w:t>
      </w:r>
    </w:p>
    <w:p w14:paraId="30C74F33" w14:textId="19204FE4" w:rsidR="00675C39" w:rsidRPr="003664D6" w:rsidRDefault="00675C39" w:rsidP="003664D6">
      <w:pPr>
        <w:pStyle w:val="ListParagraph"/>
        <w:numPr>
          <w:ilvl w:val="0"/>
          <w:numId w:val="21"/>
        </w:numPr>
        <w:rPr>
          <w:rFonts w:ascii="Century Gothic" w:hAnsi="Century Gothic" w:cs="Calibri"/>
        </w:rPr>
      </w:pPr>
      <w:r w:rsidRPr="00675C39">
        <w:rPr>
          <w:rFonts w:ascii="Century Gothic" w:hAnsi="Century Gothic" w:cs="Calibri"/>
        </w:rPr>
        <w:t>Balance Transfer of the COVID-19 Pandemic Protections Memorandum Account (CPPMA) into the Residential Uncollectible Balancing Account (RUBA)</w:t>
      </w:r>
      <w:r w:rsidR="00692345">
        <w:rPr>
          <w:rFonts w:ascii="Century Gothic" w:hAnsi="Century Gothic" w:cs="Calibri"/>
        </w:rPr>
        <w:t>:</w:t>
      </w:r>
      <w:r>
        <w:rPr>
          <w:rFonts w:ascii="Century Gothic" w:hAnsi="Century Gothic" w:cs="Calibri"/>
        </w:rPr>
        <w:t xml:space="preserve"> $9.1 million increase – AL 5817</w:t>
      </w:r>
    </w:p>
    <w:p w14:paraId="0FEBC7A3" w14:textId="77777777" w:rsidR="003664D6" w:rsidRPr="003664D6" w:rsidRDefault="003664D6" w:rsidP="003664D6">
      <w:pPr>
        <w:rPr>
          <w:rFonts w:ascii="Century Gothic" w:hAnsi="Century Gothic" w:cs="Calibri"/>
        </w:rPr>
      </w:pPr>
    </w:p>
    <w:p w14:paraId="39010DCF" w14:textId="77777777" w:rsidR="00AE3495" w:rsidRPr="00EE6524" w:rsidRDefault="00AE3495" w:rsidP="00AE3495">
      <w:pPr>
        <w:pStyle w:val="ListParagraph"/>
        <w:ind w:left="1080" w:firstLine="0"/>
        <w:rPr>
          <w:rFonts w:ascii="Century Gothic" w:hAnsi="Century Gothic" w:cs="Calibri"/>
        </w:rPr>
      </w:pPr>
    </w:p>
    <w:p w14:paraId="0BE7C55C" w14:textId="7B4517A7" w:rsidR="00436886" w:rsidRPr="00EE6524" w:rsidRDefault="00943AA0" w:rsidP="00436886">
      <w:pPr>
        <w:pStyle w:val="ListParagraph"/>
        <w:numPr>
          <w:ilvl w:val="0"/>
          <w:numId w:val="27"/>
        </w:numPr>
        <w:rPr>
          <w:rFonts w:ascii="Century Gothic" w:hAnsi="Century Gothic" w:cs="Calibri"/>
        </w:rPr>
      </w:pPr>
      <w:r w:rsidRPr="00EE6524">
        <w:rPr>
          <w:rFonts w:ascii="Century Gothic" w:hAnsi="Century Gothic" w:cs="Calibri"/>
          <w:b/>
          <w:bCs/>
        </w:rPr>
        <w:t>SDG&amp;E:</w:t>
      </w:r>
      <w:r w:rsidRPr="00EE6524">
        <w:rPr>
          <w:rFonts w:ascii="Century Gothic" w:hAnsi="Century Gothic" w:cs="Calibri"/>
        </w:rPr>
        <w:t xml:space="preserve"> </w:t>
      </w:r>
    </w:p>
    <w:p w14:paraId="611A11BC" w14:textId="3BF5AA8B" w:rsidR="00436886" w:rsidRPr="00EE6524" w:rsidRDefault="00443CAD" w:rsidP="00436886">
      <w:pPr>
        <w:pStyle w:val="ListParagraph"/>
        <w:numPr>
          <w:ilvl w:val="0"/>
          <w:numId w:val="28"/>
        </w:numPr>
        <w:rPr>
          <w:rFonts w:ascii="Century Gothic" w:hAnsi="Century Gothic" w:cs="Calibri"/>
        </w:rPr>
      </w:pPr>
      <w:r w:rsidRPr="00EE6524">
        <w:rPr>
          <w:rFonts w:ascii="Century Gothic" w:hAnsi="Century Gothic" w:cs="Calibri"/>
        </w:rPr>
        <w:t xml:space="preserve">Annual </w:t>
      </w:r>
      <w:r w:rsidR="00436886" w:rsidRPr="00EE6524">
        <w:rPr>
          <w:rFonts w:ascii="Century Gothic" w:hAnsi="Century Gothic" w:cs="Calibri"/>
        </w:rPr>
        <w:t>Regulatory Accounts Update</w:t>
      </w:r>
      <w:r w:rsidR="00E40E09">
        <w:rPr>
          <w:rFonts w:ascii="Century Gothic" w:hAnsi="Century Gothic" w:cs="Calibri"/>
        </w:rPr>
        <w:t xml:space="preserve">: </w:t>
      </w:r>
      <w:r w:rsidR="00A348B1">
        <w:rPr>
          <w:rFonts w:ascii="Century Gothic" w:hAnsi="Century Gothic" w:cs="Calibri"/>
        </w:rPr>
        <w:t xml:space="preserve">revenue </w:t>
      </w:r>
      <w:r w:rsidR="00E40E09">
        <w:rPr>
          <w:rFonts w:ascii="Century Gothic" w:hAnsi="Century Gothic" w:cs="Calibri"/>
        </w:rPr>
        <w:t xml:space="preserve">increase </w:t>
      </w:r>
      <w:r w:rsidR="00A348B1">
        <w:rPr>
          <w:rFonts w:ascii="Century Gothic" w:hAnsi="Century Gothic" w:cs="Calibri"/>
        </w:rPr>
        <w:t>of $17</w:t>
      </w:r>
      <w:r w:rsidR="000557D0">
        <w:rPr>
          <w:rFonts w:ascii="Century Gothic" w:hAnsi="Century Gothic" w:cs="Calibri"/>
        </w:rPr>
        <w:t>.4</w:t>
      </w:r>
      <w:r w:rsidR="00A348B1">
        <w:rPr>
          <w:rFonts w:ascii="Century Gothic" w:hAnsi="Century Gothic" w:cs="Calibri"/>
        </w:rPr>
        <w:t xml:space="preserve"> million </w:t>
      </w:r>
      <w:r w:rsidR="00BB7348">
        <w:rPr>
          <w:rFonts w:ascii="Century Gothic" w:hAnsi="Century Gothic" w:cs="Calibri"/>
        </w:rPr>
        <w:t xml:space="preserve">by </w:t>
      </w:r>
      <w:r w:rsidR="00436886" w:rsidRPr="00EE6524">
        <w:rPr>
          <w:rFonts w:ascii="Century Gothic" w:hAnsi="Century Gothic" w:cs="Calibri"/>
        </w:rPr>
        <w:t xml:space="preserve">Advice Letter </w:t>
      </w:r>
      <w:r w:rsidR="00AE3495" w:rsidRPr="00EE6524">
        <w:rPr>
          <w:rFonts w:ascii="Century Gothic" w:hAnsi="Century Gothic" w:cs="Calibri"/>
        </w:rPr>
        <w:t>3024</w:t>
      </w:r>
      <w:r w:rsidR="00436886" w:rsidRPr="00EE6524">
        <w:rPr>
          <w:rFonts w:ascii="Century Gothic" w:hAnsi="Century Gothic" w:cs="Calibri"/>
        </w:rPr>
        <w:t>-G</w:t>
      </w:r>
      <w:r w:rsidR="0023292D" w:rsidRPr="00EE6524">
        <w:rPr>
          <w:rStyle w:val="FootnoteReference"/>
          <w:rFonts w:ascii="Century Gothic" w:hAnsi="Century Gothic" w:cs="Calibri"/>
        </w:rPr>
        <w:footnoteReference w:id="8"/>
      </w:r>
    </w:p>
    <w:p w14:paraId="1609CF1C" w14:textId="172C7E36" w:rsidR="001C6A74" w:rsidRDefault="00436886" w:rsidP="00436886">
      <w:pPr>
        <w:pStyle w:val="ListParagraph"/>
        <w:numPr>
          <w:ilvl w:val="0"/>
          <w:numId w:val="28"/>
        </w:numPr>
        <w:rPr>
          <w:rFonts w:ascii="Century Gothic" w:hAnsi="Century Gothic" w:cs="Calibri"/>
        </w:rPr>
      </w:pPr>
      <w:r w:rsidRPr="001C6A74">
        <w:rPr>
          <w:rFonts w:ascii="Century Gothic" w:hAnsi="Century Gothic" w:cs="Calibri"/>
        </w:rPr>
        <w:t>202</w:t>
      </w:r>
      <w:r w:rsidR="00AE3495" w:rsidRPr="001C6A74">
        <w:rPr>
          <w:rFonts w:ascii="Century Gothic" w:hAnsi="Century Gothic" w:cs="Calibri"/>
        </w:rPr>
        <w:t>2</w:t>
      </w:r>
      <w:r w:rsidRPr="001C6A74">
        <w:rPr>
          <w:rFonts w:ascii="Century Gothic" w:hAnsi="Century Gothic" w:cs="Calibri"/>
        </w:rPr>
        <w:t xml:space="preserve"> GRC </w:t>
      </w:r>
      <w:r w:rsidR="00B3510B" w:rsidRPr="001C6A74">
        <w:rPr>
          <w:rFonts w:ascii="Century Gothic" w:hAnsi="Century Gothic" w:cs="Calibri"/>
        </w:rPr>
        <w:t>Adjustment</w:t>
      </w:r>
      <w:r w:rsidR="00E40E09">
        <w:rPr>
          <w:rFonts w:ascii="Century Gothic" w:hAnsi="Century Gothic" w:cs="Calibri"/>
        </w:rPr>
        <w:t xml:space="preserve">: </w:t>
      </w:r>
      <w:r w:rsidR="00BB7348" w:rsidRPr="001C6A74">
        <w:rPr>
          <w:rFonts w:ascii="Century Gothic" w:hAnsi="Century Gothic" w:cs="Calibri"/>
        </w:rPr>
        <w:t>$1</w:t>
      </w:r>
      <w:r w:rsidR="001C6A74" w:rsidRPr="001C6A74">
        <w:rPr>
          <w:rFonts w:ascii="Century Gothic" w:hAnsi="Century Gothic" w:cs="Calibri"/>
        </w:rPr>
        <w:t>3</w:t>
      </w:r>
      <w:r w:rsidR="00BB7348" w:rsidRPr="001C6A74">
        <w:rPr>
          <w:rFonts w:ascii="Century Gothic" w:hAnsi="Century Gothic" w:cs="Calibri"/>
        </w:rPr>
        <w:t xml:space="preserve"> million</w:t>
      </w:r>
      <w:r w:rsidR="00E40E09">
        <w:rPr>
          <w:rFonts w:ascii="Century Gothic" w:hAnsi="Century Gothic" w:cs="Calibri"/>
        </w:rPr>
        <w:t xml:space="preserve"> increase </w:t>
      </w:r>
      <w:r w:rsidR="000557D0">
        <w:rPr>
          <w:rFonts w:ascii="Century Gothic" w:hAnsi="Century Gothic" w:cs="Calibri"/>
        </w:rPr>
        <w:t xml:space="preserve">- </w:t>
      </w:r>
      <w:r w:rsidR="001C6A74" w:rsidRPr="001C6A74">
        <w:rPr>
          <w:rFonts w:ascii="Century Gothic" w:hAnsi="Century Gothic" w:cs="Calibri"/>
        </w:rPr>
        <w:t>D.19-09-051 and AL 3034-G</w:t>
      </w:r>
    </w:p>
    <w:p w14:paraId="27D6F5EC" w14:textId="7F61F529" w:rsidR="000557D0" w:rsidRDefault="000557D0" w:rsidP="000557D0">
      <w:pPr>
        <w:pStyle w:val="ListParagraph"/>
        <w:numPr>
          <w:ilvl w:val="0"/>
          <w:numId w:val="28"/>
        </w:numPr>
        <w:rPr>
          <w:rFonts w:ascii="Century Gothic" w:hAnsi="Century Gothic" w:cs="Calibri"/>
        </w:rPr>
      </w:pPr>
      <w:r w:rsidRPr="000557D0">
        <w:rPr>
          <w:rFonts w:ascii="Century Gothic" w:hAnsi="Century Gothic" w:cs="Calibri"/>
        </w:rPr>
        <w:t>Implementation of revenue requirement adjustments</w:t>
      </w:r>
      <w:r w:rsidR="00E40E09">
        <w:rPr>
          <w:rFonts w:ascii="Century Gothic" w:hAnsi="Century Gothic" w:cs="Calibri"/>
        </w:rPr>
        <w:t>:</w:t>
      </w:r>
      <w:r w:rsidRPr="000557D0">
        <w:rPr>
          <w:rFonts w:ascii="Century Gothic" w:hAnsi="Century Gothic" w:cs="Calibri"/>
        </w:rPr>
        <w:t xml:space="preserve">  $</w:t>
      </w:r>
      <w:r>
        <w:rPr>
          <w:rFonts w:ascii="Century Gothic" w:hAnsi="Century Gothic" w:cs="Calibri"/>
        </w:rPr>
        <w:t>1</w:t>
      </w:r>
      <w:r w:rsidRPr="000557D0"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>35</w:t>
      </w:r>
      <w:r w:rsidRPr="000557D0">
        <w:rPr>
          <w:rFonts w:ascii="Century Gothic" w:hAnsi="Century Gothic" w:cs="Calibri"/>
        </w:rPr>
        <w:t xml:space="preserve"> million decrease - GRC D. 21-05-003</w:t>
      </w:r>
      <w:r w:rsidR="00E40E09">
        <w:rPr>
          <w:rFonts w:ascii="Century Gothic" w:hAnsi="Century Gothic" w:cs="Calibri"/>
        </w:rPr>
        <w:t>,</w:t>
      </w:r>
      <w:r w:rsidRPr="000557D0">
        <w:rPr>
          <w:rFonts w:ascii="Century Gothic" w:hAnsi="Century Gothic" w:cs="Calibri"/>
        </w:rPr>
        <w:t xml:space="preserve"> AL</w:t>
      </w:r>
      <w:r>
        <w:rPr>
          <w:rFonts w:ascii="Century Gothic" w:hAnsi="Century Gothic" w:cs="Calibri"/>
        </w:rPr>
        <w:t xml:space="preserve"> 2997</w:t>
      </w:r>
    </w:p>
    <w:p w14:paraId="5E6B7EF6" w14:textId="4EC46F18" w:rsidR="001C6A74" w:rsidRPr="000557D0" w:rsidRDefault="000557D0" w:rsidP="000557D0">
      <w:pPr>
        <w:pStyle w:val="ListParagraph"/>
        <w:numPr>
          <w:ilvl w:val="0"/>
          <w:numId w:val="28"/>
        </w:numPr>
        <w:rPr>
          <w:rFonts w:ascii="Century Gothic" w:hAnsi="Century Gothic" w:cs="Calibri"/>
        </w:rPr>
      </w:pPr>
      <w:r w:rsidRPr="000557D0">
        <w:rPr>
          <w:rFonts w:ascii="Century Gothic" w:hAnsi="Century Gothic" w:cs="Calibri"/>
        </w:rPr>
        <w:t xml:space="preserve">Removal 2018 </w:t>
      </w:r>
      <w:r>
        <w:rPr>
          <w:rFonts w:ascii="Century Gothic" w:hAnsi="Century Gothic" w:cs="Calibri"/>
        </w:rPr>
        <w:t>i</w:t>
      </w:r>
      <w:r w:rsidRPr="000557D0">
        <w:rPr>
          <w:rFonts w:ascii="Century Gothic" w:hAnsi="Century Gothic" w:cs="Calibri"/>
        </w:rPr>
        <w:t xml:space="preserve">ncome </w:t>
      </w:r>
      <w:r>
        <w:rPr>
          <w:rFonts w:ascii="Century Gothic" w:hAnsi="Century Gothic" w:cs="Calibri"/>
        </w:rPr>
        <w:t>t</w:t>
      </w:r>
      <w:r w:rsidRPr="000557D0">
        <w:rPr>
          <w:rFonts w:ascii="Century Gothic" w:hAnsi="Century Gothic" w:cs="Calibri"/>
        </w:rPr>
        <w:t xml:space="preserve">ax </w:t>
      </w:r>
      <w:r>
        <w:rPr>
          <w:rFonts w:ascii="Century Gothic" w:hAnsi="Century Gothic" w:cs="Calibri"/>
        </w:rPr>
        <w:t>e</w:t>
      </w:r>
      <w:r w:rsidRPr="000557D0">
        <w:rPr>
          <w:rFonts w:ascii="Century Gothic" w:hAnsi="Century Gothic" w:cs="Calibri"/>
        </w:rPr>
        <w:t xml:space="preserve">xpenses </w:t>
      </w:r>
      <w:r>
        <w:rPr>
          <w:rFonts w:ascii="Century Gothic" w:hAnsi="Century Gothic" w:cs="Calibri"/>
        </w:rPr>
        <w:t>r</w:t>
      </w:r>
      <w:r w:rsidRPr="000557D0">
        <w:rPr>
          <w:rFonts w:ascii="Century Gothic" w:hAnsi="Century Gothic" w:cs="Calibri"/>
        </w:rPr>
        <w:t>esulting from the Tax Cuts and Jobs Act (TCJA)</w:t>
      </w:r>
      <w:r w:rsidR="002F641D">
        <w:rPr>
          <w:rFonts w:ascii="Century Gothic" w:hAnsi="Century Gothic" w:cs="Calibri"/>
        </w:rPr>
        <w:t>: $</w:t>
      </w:r>
      <w:r>
        <w:rPr>
          <w:rFonts w:ascii="Century Gothic" w:hAnsi="Century Gothic" w:cs="Calibri"/>
        </w:rPr>
        <w:t xml:space="preserve">5.97 million decrease - </w:t>
      </w:r>
      <w:r w:rsidRPr="000557D0">
        <w:rPr>
          <w:rFonts w:ascii="Century Gothic" w:hAnsi="Century Gothic" w:cs="Calibri"/>
        </w:rPr>
        <w:t>D.19-09-051 and AL</w:t>
      </w:r>
      <w:r w:rsidR="002F641D">
        <w:rPr>
          <w:rFonts w:ascii="Century Gothic" w:hAnsi="Century Gothic" w:cs="Calibri"/>
        </w:rPr>
        <w:t xml:space="preserve"> </w:t>
      </w:r>
      <w:r w:rsidRPr="000557D0">
        <w:rPr>
          <w:rFonts w:ascii="Century Gothic" w:hAnsi="Century Gothic" w:cs="Calibri"/>
        </w:rPr>
        <w:t>2816-G</w:t>
      </w:r>
    </w:p>
    <w:p w14:paraId="66768CB8" w14:textId="5C3A40E8" w:rsidR="00436886" w:rsidRPr="001C6A74" w:rsidRDefault="00436886" w:rsidP="00436886">
      <w:pPr>
        <w:pStyle w:val="ListParagraph"/>
        <w:numPr>
          <w:ilvl w:val="0"/>
          <w:numId w:val="28"/>
        </w:numPr>
        <w:rPr>
          <w:rFonts w:ascii="Century Gothic" w:hAnsi="Century Gothic" w:cs="Calibri"/>
        </w:rPr>
      </w:pPr>
      <w:r w:rsidRPr="001C6A74">
        <w:rPr>
          <w:rFonts w:ascii="Century Gothic" w:hAnsi="Century Gothic" w:cs="Calibri"/>
        </w:rPr>
        <w:t>Natural Gas Leak Abatement</w:t>
      </w:r>
      <w:r w:rsidR="002F641D">
        <w:rPr>
          <w:rFonts w:ascii="Century Gothic" w:hAnsi="Century Gothic" w:cs="Calibri"/>
        </w:rPr>
        <w:t xml:space="preserve">: </w:t>
      </w:r>
      <w:r w:rsidR="00BB7348" w:rsidRPr="001C6A74">
        <w:rPr>
          <w:rFonts w:ascii="Century Gothic" w:hAnsi="Century Gothic" w:cs="Calibri"/>
        </w:rPr>
        <w:t>a decrease of $</w:t>
      </w:r>
      <w:r w:rsidR="000557D0">
        <w:rPr>
          <w:rFonts w:ascii="Century Gothic" w:hAnsi="Century Gothic" w:cs="Calibri"/>
        </w:rPr>
        <w:t>0.8</w:t>
      </w:r>
      <w:r w:rsidR="00BB7348" w:rsidRPr="001C6A74">
        <w:rPr>
          <w:rFonts w:ascii="Century Gothic" w:hAnsi="Century Gothic" w:cs="Calibri"/>
        </w:rPr>
        <w:t xml:space="preserve"> million per </w:t>
      </w:r>
      <w:r w:rsidR="00AE3495" w:rsidRPr="001C6A74">
        <w:rPr>
          <w:rFonts w:ascii="Century Gothic" w:hAnsi="Century Gothic" w:cs="Calibri"/>
        </w:rPr>
        <w:t>Resolution G-35</w:t>
      </w:r>
      <w:r w:rsidR="002F641D">
        <w:rPr>
          <w:rFonts w:ascii="Century Gothic" w:hAnsi="Century Gothic" w:cs="Calibri"/>
        </w:rPr>
        <w:t>77</w:t>
      </w:r>
    </w:p>
    <w:p w14:paraId="02CDA859" w14:textId="01144EF0" w:rsidR="00522DAA" w:rsidRPr="00EE6524" w:rsidRDefault="00522DAA" w:rsidP="00AE3495">
      <w:pPr>
        <w:pStyle w:val="ListParagraph"/>
        <w:ind w:left="1440" w:firstLine="0"/>
        <w:rPr>
          <w:rFonts w:ascii="Century Gothic" w:hAnsi="Century Gothic" w:cs="Calibri"/>
        </w:rPr>
      </w:pPr>
    </w:p>
    <w:bookmarkEnd w:id="7"/>
    <w:sectPr w:rsidR="00522DAA" w:rsidRPr="00EE6524" w:rsidSect="00BB0D0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170" w:left="720" w:header="576" w:footer="4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5728" w14:textId="77777777" w:rsidR="00A42FDB" w:rsidRDefault="00A42FDB">
      <w:r>
        <w:separator/>
      </w:r>
    </w:p>
    <w:p w14:paraId="55416668" w14:textId="77777777" w:rsidR="00A42FDB" w:rsidRDefault="00A42FDB"/>
  </w:endnote>
  <w:endnote w:type="continuationSeparator" w:id="0">
    <w:p w14:paraId="01B0B662" w14:textId="77777777" w:rsidR="00A42FDB" w:rsidRDefault="00A42FDB">
      <w:r>
        <w:continuationSeparator/>
      </w:r>
    </w:p>
    <w:p w14:paraId="73518160" w14:textId="77777777" w:rsidR="00A42FDB" w:rsidRDefault="00A42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117D1" w14:textId="77777777"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B8B6A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9B504" w14:textId="149FCF73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14:paraId="4CD8D1CB" w14:textId="481D7783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3278C832" w14:textId="126BF41C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14:paraId="3E9F6AC9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DCE4" w14:textId="77777777" w:rsidR="00A42FDB" w:rsidRDefault="00A42FDB">
      <w:r>
        <w:separator/>
      </w:r>
    </w:p>
    <w:p w14:paraId="1250F744" w14:textId="77777777" w:rsidR="00A42FDB" w:rsidRDefault="00A42FDB"/>
  </w:footnote>
  <w:footnote w:type="continuationSeparator" w:id="0">
    <w:p w14:paraId="47D92884" w14:textId="77777777" w:rsidR="00A42FDB" w:rsidRDefault="00A42FDB">
      <w:r>
        <w:continuationSeparator/>
      </w:r>
    </w:p>
    <w:p w14:paraId="70F418C8" w14:textId="77777777" w:rsidR="00A42FDB" w:rsidRDefault="00A42FDB"/>
  </w:footnote>
  <w:footnote w:id="1">
    <w:p w14:paraId="0A02C598" w14:textId="3C4EECFE" w:rsidR="00C9733D" w:rsidRPr="00C9733D" w:rsidRDefault="00C9733D" w:rsidP="00C9733D">
      <w:pPr>
        <w:pStyle w:val="FootnoteText"/>
        <w:ind w:left="540" w:hanging="180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 w:rsidRPr="00C9733D">
        <w:rPr>
          <w:rFonts w:ascii="Garamond" w:hAnsi="Garamond"/>
        </w:rPr>
        <w:t xml:space="preserve">General volatility in the natural gas market resulting in seasonal high prices is caused by expanding global demand with supply being </w:t>
      </w:r>
      <w:r>
        <w:rPr>
          <w:rFonts w:ascii="Garamond" w:hAnsi="Garamond"/>
        </w:rPr>
        <w:t xml:space="preserve">           </w:t>
      </w:r>
      <w:r w:rsidRPr="00C9733D">
        <w:rPr>
          <w:rFonts w:ascii="Garamond" w:hAnsi="Garamond"/>
        </w:rPr>
        <w:t>unable to keep up with the demand.</w:t>
      </w:r>
    </w:p>
  </w:footnote>
  <w:footnote w:id="2">
    <w:p w14:paraId="71A0B6AB" w14:textId="6C69F65C" w:rsidR="00E46FDA" w:rsidRPr="00E46FDA" w:rsidRDefault="00E46FDA">
      <w:pPr>
        <w:pStyle w:val="FootnoteText"/>
        <w:rPr>
          <w:rFonts w:ascii="Garamond" w:hAnsi="Garamond"/>
        </w:rPr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The bill impacts include updated Public Purpose Program (PPP) surcharge rates: SoCalGas AL 5892-G, SDG&amp;E AL 3027-G </w:t>
      </w:r>
    </w:p>
  </w:footnote>
  <w:footnote w:id="3">
    <w:p w14:paraId="203285BD" w14:textId="70A809DD" w:rsidR="00EB7799" w:rsidRPr="00E46FDA" w:rsidRDefault="00A42FDB" w:rsidP="00764CCE">
      <w:pPr>
        <w:pStyle w:val="FootnoteText"/>
        <w:rPr>
          <w:rFonts w:ascii="Garamond" w:hAnsi="Garamond"/>
        </w:rPr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</w:t>
      </w:r>
      <w:bookmarkStart w:id="3" w:name="_Hlk58920515"/>
      <w:r w:rsidR="00814514" w:rsidRPr="00E46FDA">
        <w:rPr>
          <w:rFonts w:ascii="Garamond" w:hAnsi="Garamond"/>
        </w:rPr>
        <w:t xml:space="preserve">Bill </w:t>
      </w:r>
      <w:r w:rsidR="00443CAD" w:rsidRPr="00E46FDA">
        <w:rPr>
          <w:rFonts w:ascii="Garamond" w:hAnsi="Garamond"/>
        </w:rPr>
        <w:t>e</w:t>
      </w:r>
      <w:r w:rsidR="00814514" w:rsidRPr="00E46FDA">
        <w:rPr>
          <w:rFonts w:ascii="Garamond" w:hAnsi="Garamond"/>
        </w:rPr>
        <w:t xml:space="preserve">stimate assumes an average monthly consumption of 23 </w:t>
      </w:r>
      <w:proofErr w:type="spellStart"/>
      <w:r w:rsidR="00814514" w:rsidRPr="00E46FDA">
        <w:rPr>
          <w:rFonts w:ascii="Garamond" w:hAnsi="Garamond"/>
        </w:rPr>
        <w:t>therms</w:t>
      </w:r>
      <w:proofErr w:type="spellEnd"/>
      <w:r w:rsidR="00814514" w:rsidRPr="00E46FDA">
        <w:rPr>
          <w:rFonts w:ascii="Garamond" w:hAnsi="Garamond"/>
        </w:rPr>
        <w:t xml:space="preserve"> </w:t>
      </w:r>
      <w:r w:rsidR="00EB7799" w:rsidRPr="00E46FDA">
        <w:rPr>
          <w:rFonts w:ascii="Garamond" w:hAnsi="Garamond"/>
        </w:rPr>
        <w:t xml:space="preserve">in a month </w:t>
      </w:r>
      <w:r w:rsidR="00814514" w:rsidRPr="00E46FDA">
        <w:rPr>
          <w:rFonts w:ascii="Garamond" w:hAnsi="Garamond"/>
        </w:rPr>
        <w:t xml:space="preserve">for </w:t>
      </w:r>
      <w:proofErr w:type="gramStart"/>
      <w:r w:rsidR="00814514" w:rsidRPr="00E46FDA">
        <w:rPr>
          <w:rFonts w:ascii="Garamond" w:hAnsi="Garamond"/>
        </w:rPr>
        <w:t>Non-CARE</w:t>
      </w:r>
      <w:proofErr w:type="gramEnd"/>
      <w:r w:rsidR="00814514" w:rsidRPr="00E46FDA">
        <w:rPr>
          <w:rFonts w:ascii="Garamond" w:hAnsi="Garamond"/>
        </w:rPr>
        <w:t xml:space="preserve">, </w:t>
      </w:r>
      <w:bookmarkEnd w:id="3"/>
      <w:r w:rsidR="00814514" w:rsidRPr="00E46FDA">
        <w:rPr>
          <w:rFonts w:ascii="Garamond" w:hAnsi="Garamond"/>
        </w:rPr>
        <w:t xml:space="preserve">and an average annual </w:t>
      </w:r>
      <w:r w:rsidR="00EB7799" w:rsidRPr="00E46FDA">
        <w:rPr>
          <w:rFonts w:ascii="Garamond" w:hAnsi="Garamond"/>
        </w:rPr>
        <w:t xml:space="preserve">   </w:t>
      </w:r>
    </w:p>
    <w:p w14:paraId="3957F957" w14:textId="76709DBC" w:rsidR="00A42FDB" w:rsidRPr="00E46FDA" w:rsidRDefault="00EB7799" w:rsidP="00764CCE">
      <w:pPr>
        <w:pStyle w:val="FootnoteText"/>
        <w:rPr>
          <w:rFonts w:ascii="Garamond" w:hAnsi="Garamond"/>
        </w:rPr>
      </w:pPr>
      <w:r w:rsidRPr="00E46FDA">
        <w:rPr>
          <w:rFonts w:ascii="Garamond" w:hAnsi="Garamond"/>
        </w:rPr>
        <w:t xml:space="preserve">   </w:t>
      </w:r>
      <w:r w:rsidR="00814514" w:rsidRPr="00E46FDA">
        <w:rPr>
          <w:rFonts w:ascii="Garamond" w:hAnsi="Garamond"/>
        </w:rPr>
        <w:t>procurement rate of $0.</w:t>
      </w:r>
      <w:r w:rsidR="00F94C28" w:rsidRPr="00E46FDA">
        <w:rPr>
          <w:rFonts w:ascii="Garamond" w:hAnsi="Garamond"/>
        </w:rPr>
        <w:t>49511</w:t>
      </w:r>
      <w:r w:rsidR="00814514" w:rsidRPr="00E46FDA">
        <w:rPr>
          <w:rFonts w:ascii="Garamond" w:hAnsi="Garamond"/>
        </w:rPr>
        <w:t>/</w:t>
      </w:r>
      <w:proofErr w:type="spellStart"/>
      <w:r w:rsidR="00814514" w:rsidRPr="00E46FDA">
        <w:rPr>
          <w:rFonts w:ascii="Garamond" w:hAnsi="Garamond"/>
        </w:rPr>
        <w:t>th</w:t>
      </w:r>
      <w:r w:rsidR="009A6C98" w:rsidRPr="00E46FDA">
        <w:rPr>
          <w:rFonts w:ascii="Garamond" w:hAnsi="Garamond"/>
        </w:rPr>
        <w:t>erm</w:t>
      </w:r>
      <w:proofErr w:type="spellEnd"/>
      <w:r w:rsidR="00814514" w:rsidRPr="00E46FDA">
        <w:rPr>
          <w:rFonts w:ascii="Garamond" w:hAnsi="Garamond"/>
        </w:rPr>
        <w:t xml:space="preserve"> for Jan-2</w:t>
      </w:r>
      <w:r w:rsidR="00F94C28" w:rsidRPr="00E46FDA">
        <w:rPr>
          <w:rFonts w:ascii="Garamond" w:hAnsi="Garamond"/>
        </w:rPr>
        <w:t>2</w:t>
      </w:r>
      <w:r w:rsidR="00814514" w:rsidRPr="00E46FDA">
        <w:rPr>
          <w:rFonts w:ascii="Garamond" w:hAnsi="Garamond"/>
        </w:rPr>
        <w:t>.</w:t>
      </w:r>
    </w:p>
  </w:footnote>
  <w:footnote w:id="4">
    <w:p w14:paraId="784E5BF1" w14:textId="0AAC7DD2" w:rsidR="00EB7799" w:rsidRPr="00E46FDA" w:rsidRDefault="00A42FDB" w:rsidP="00764CCE">
      <w:pPr>
        <w:pStyle w:val="FootnoteText"/>
        <w:rPr>
          <w:rFonts w:ascii="Garamond" w:hAnsi="Garamond"/>
        </w:rPr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</w:t>
      </w:r>
      <w:bookmarkStart w:id="4" w:name="_Hlk58920606"/>
      <w:r w:rsidR="00814514" w:rsidRPr="00E46FDA">
        <w:rPr>
          <w:rFonts w:ascii="Garamond" w:hAnsi="Garamond"/>
        </w:rPr>
        <w:t xml:space="preserve">Bill </w:t>
      </w:r>
      <w:r w:rsidR="00443CAD" w:rsidRPr="00E46FDA">
        <w:rPr>
          <w:rFonts w:ascii="Garamond" w:hAnsi="Garamond"/>
        </w:rPr>
        <w:t>e</w:t>
      </w:r>
      <w:r w:rsidR="00814514" w:rsidRPr="00E46FDA">
        <w:rPr>
          <w:rFonts w:ascii="Garamond" w:hAnsi="Garamond"/>
        </w:rPr>
        <w:t xml:space="preserve">stimate assumes an average monthly consumption of 33 </w:t>
      </w:r>
      <w:proofErr w:type="spellStart"/>
      <w:r w:rsidR="00814514" w:rsidRPr="00E46FDA">
        <w:rPr>
          <w:rFonts w:ascii="Garamond" w:hAnsi="Garamond"/>
        </w:rPr>
        <w:t>therms</w:t>
      </w:r>
      <w:proofErr w:type="spellEnd"/>
      <w:r w:rsidR="00EB7799" w:rsidRPr="00E46FDA">
        <w:rPr>
          <w:rFonts w:ascii="Garamond" w:hAnsi="Garamond"/>
        </w:rPr>
        <w:t xml:space="preserve"> in a month</w:t>
      </w:r>
      <w:r w:rsidR="00814514" w:rsidRPr="00E46FDA">
        <w:rPr>
          <w:rFonts w:ascii="Garamond" w:hAnsi="Garamond"/>
        </w:rPr>
        <w:t xml:space="preserve"> for </w:t>
      </w:r>
      <w:proofErr w:type="gramStart"/>
      <w:r w:rsidR="00814514" w:rsidRPr="00E46FDA">
        <w:rPr>
          <w:rFonts w:ascii="Garamond" w:hAnsi="Garamond"/>
        </w:rPr>
        <w:t>Non-CARE</w:t>
      </w:r>
      <w:proofErr w:type="gramEnd"/>
      <w:r w:rsidR="00814514" w:rsidRPr="00E46FDA">
        <w:rPr>
          <w:rFonts w:ascii="Garamond" w:hAnsi="Garamond"/>
        </w:rPr>
        <w:t xml:space="preserve"> </w:t>
      </w:r>
      <w:bookmarkEnd w:id="4"/>
      <w:r w:rsidR="00814514" w:rsidRPr="00E46FDA">
        <w:rPr>
          <w:rFonts w:ascii="Garamond" w:hAnsi="Garamond"/>
        </w:rPr>
        <w:t xml:space="preserve">, and an average annual </w:t>
      </w:r>
      <w:r w:rsidR="00EB7799" w:rsidRPr="00E46FDA">
        <w:rPr>
          <w:rFonts w:ascii="Garamond" w:hAnsi="Garamond"/>
        </w:rPr>
        <w:t xml:space="preserve"> </w:t>
      </w:r>
    </w:p>
    <w:p w14:paraId="7F055E83" w14:textId="32A054A9" w:rsidR="00A42FDB" w:rsidRPr="00E46FDA" w:rsidRDefault="00EB7799" w:rsidP="00764CCE">
      <w:pPr>
        <w:pStyle w:val="FootnoteText"/>
        <w:rPr>
          <w:rFonts w:ascii="Garamond" w:hAnsi="Garamond"/>
        </w:rPr>
      </w:pPr>
      <w:r w:rsidRPr="00E46FDA">
        <w:rPr>
          <w:rFonts w:ascii="Garamond" w:hAnsi="Garamond"/>
        </w:rPr>
        <w:t xml:space="preserve">   </w:t>
      </w:r>
      <w:r w:rsidR="00814514" w:rsidRPr="00E46FDA">
        <w:rPr>
          <w:rFonts w:ascii="Garamond" w:hAnsi="Garamond"/>
        </w:rPr>
        <w:t>procurement rate of $0.</w:t>
      </w:r>
      <w:r w:rsidR="00F94C28" w:rsidRPr="00E46FDA">
        <w:rPr>
          <w:rFonts w:ascii="Garamond" w:hAnsi="Garamond"/>
        </w:rPr>
        <w:t>49511</w:t>
      </w:r>
      <w:r w:rsidR="00814514" w:rsidRPr="00E46FDA">
        <w:rPr>
          <w:rFonts w:ascii="Garamond" w:hAnsi="Garamond"/>
        </w:rPr>
        <w:t>/</w:t>
      </w:r>
      <w:proofErr w:type="spellStart"/>
      <w:r w:rsidR="00814514" w:rsidRPr="00E46FDA">
        <w:rPr>
          <w:rFonts w:ascii="Garamond" w:hAnsi="Garamond"/>
        </w:rPr>
        <w:t>th</w:t>
      </w:r>
      <w:r w:rsidR="009A6C98" w:rsidRPr="00E46FDA">
        <w:rPr>
          <w:rFonts w:ascii="Garamond" w:hAnsi="Garamond"/>
        </w:rPr>
        <w:t>erm</w:t>
      </w:r>
      <w:proofErr w:type="spellEnd"/>
      <w:r w:rsidR="00814514" w:rsidRPr="00E46FDA">
        <w:rPr>
          <w:rFonts w:ascii="Garamond" w:hAnsi="Garamond"/>
        </w:rPr>
        <w:t xml:space="preserve"> for Jan-2</w:t>
      </w:r>
      <w:r w:rsidR="00F94C28" w:rsidRPr="00E46FDA">
        <w:rPr>
          <w:rFonts w:ascii="Garamond" w:hAnsi="Garamond"/>
        </w:rPr>
        <w:t>2</w:t>
      </w:r>
      <w:r w:rsidR="00814514" w:rsidRPr="00E46FDA">
        <w:rPr>
          <w:rFonts w:ascii="Garamond" w:hAnsi="Garamond"/>
        </w:rPr>
        <w:t>.</w:t>
      </w:r>
    </w:p>
  </w:footnote>
  <w:footnote w:id="5">
    <w:p w14:paraId="55CD481B" w14:textId="7F5B0BDA" w:rsidR="00814514" w:rsidRPr="00E46FDA" w:rsidRDefault="00814514">
      <w:pPr>
        <w:pStyle w:val="FootnoteText"/>
        <w:rPr>
          <w:rFonts w:ascii="Garamond" w:hAnsi="Garamond"/>
        </w:rPr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</w:t>
      </w:r>
      <w:r w:rsidR="00EB7799" w:rsidRPr="00E46FDA">
        <w:rPr>
          <w:rFonts w:ascii="Garamond" w:hAnsi="Garamond"/>
        </w:rPr>
        <w:t xml:space="preserve">Bill </w:t>
      </w:r>
      <w:r w:rsidR="00443CAD" w:rsidRPr="00E46FDA">
        <w:rPr>
          <w:rFonts w:ascii="Garamond" w:hAnsi="Garamond"/>
        </w:rPr>
        <w:t xml:space="preserve">impacts based on </w:t>
      </w:r>
      <w:r w:rsidR="00EB7799" w:rsidRPr="00E46FDA">
        <w:rPr>
          <w:rFonts w:ascii="Garamond" w:hAnsi="Garamond"/>
        </w:rPr>
        <w:t xml:space="preserve">an average monthly consumption of 19 </w:t>
      </w:r>
      <w:proofErr w:type="spellStart"/>
      <w:r w:rsidR="00EB7799" w:rsidRPr="00E46FDA">
        <w:rPr>
          <w:rFonts w:ascii="Garamond" w:hAnsi="Garamond"/>
        </w:rPr>
        <w:t>therms</w:t>
      </w:r>
      <w:proofErr w:type="spellEnd"/>
      <w:r w:rsidR="00EB7799" w:rsidRPr="00E46FDA">
        <w:rPr>
          <w:rFonts w:ascii="Garamond" w:hAnsi="Garamond"/>
        </w:rPr>
        <w:t xml:space="preserve"> in a month for CARE.</w:t>
      </w:r>
    </w:p>
  </w:footnote>
  <w:footnote w:id="6">
    <w:p w14:paraId="5754BF84" w14:textId="4D240716" w:rsidR="00EB7799" w:rsidRPr="00E46FDA" w:rsidRDefault="00EB7799">
      <w:pPr>
        <w:pStyle w:val="FootnoteText"/>
        <w:rPr>
          <w:rFonts w:ascii="Garamond" w:hAnsi="Garamond"/>
        </w:rPr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Bill </w:t>
      </w:r>
      <w:r w:rsidR="00443CAD" w:rsidRPr="00E46FDA">
        <w:rPr>
          <w:rFonts w:ascii="Garamond" w:hAnsi="Garamond"/>
        </w:rPr>
        <w:t>impacts base on</w:t>
      </w:r>
      <w:r w:rsidRPr="00E46FDA">
        <w:rPr>
          <w:rFonts w:ascii="Garamond" w:hAnsi="Garamond"/>
        </w:rPr>
        <w:t xml:space="preserve"> an average monthly consumption of 2</w:t>
      </w:r>
      <w:r w:rsidR="00F94C28" w:rsidRPr="00E46FDA">
        <w:rPr>
          <w:rFonts w:ascii="Garamond" w:hAnsi="Garamond"/>
        </w:rPr>
        <w:t>7</w:t>
      </w:r>
      <w:r w:rsidRPr="00E46FDA">
        <w:rPr>
          <w:rFonts w:ascii="Garamond" w:hAnsi="Garamond"/>
        </w:rPr>
        <w:t xml:space="preserve"> </w:t>
      </w:r>
      <w:proofErr w:type="spellStart"/>
      <w:r w:rsidRPr="00E46FDA">
        <w:rPr>
          <w:rFonts w:ascii="Garamond" w:hAnsi="Garamond"/>
        </w:rPr>
        <w:t>therms</w:t>
      </w:r>
      <w:proofErr w:type="spellEnd"/>
      <w:r w:rsidRPr="00E46FDA">
        <w:rPr>
          <w:rFonts w:ascii="Garamond" w:hAnsi="Garamond"/>
        </w:rPr>
        <w:t xml:space="preserve"> in a month for CARE.</w:t>
      </w:r>
    </w:p>
  </w:footnote>
  <w:footnote w:id="7">
    <w:p w14:paraId="3450904D" w14:textId="55FD6DBB" w:rsidR="00255AB7" w:rsidRPr="00E46FDA" w:rsidRDefault="00255AB7" w:rsidP="0023292D">
      <w:pPr>
        <w:pStyle w:val="FootnoteText"/>
        <w:ind w:left="450" w:hanging="90"/>
        <w:rPr>
          <w:rFonts w:ascii="Garamond" w:hAnsi="Garamond"/>
        </w:rPr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General Rate Case Memorandum Account 2019 (GRCMA2019), Advanced Meter Infrastructure Balancing Account (AMIBA), Greenhouse Gas Balancing Account (GHGBA), Dairy Biomethane Program Balancing Account (DBPBA)</w:t>
      </w:r>
      <w:r w:rsidR="0023292D" w:rsidRPr="00E46FDA">
        <w:rPr>
          <w:rFonts w:ascii="Garamond" w:hAnsi="Garamond"/>
        </w:rPr>
        <w:t>, and Noncore Fixed Cost Account (NFCA)</w:t>
      </w:r>
      <w:r w:rsidR="00FE5567">
        <w:rPr>
          <w:rFonts w:ascii="Garamond" w:hAnsi="Garamond"/>
        </w:rPr>
        <w:t>.</w:t>
      </w:r>
    </w:p>
  </w:footnote>
  <w:footnote w:id="8">
    <w:p w14:paraId="7D3C4700" w14:textId="06B2AB12" w:rsidR="0023292D" w:rsidRDefault="0023292D" w:rsidP="0023292D">
      <w:pPr>
        <w:pStyle w:val="FootnoteText"/>
        <w:ind w:left="450" w:hanging="90"/>
      </w:pPr>
      <w:r w:rsidRPr="00E46FDA">
        <w:rPr>
          <w:rStyle w:val="FootnoteReference"/>
          <w:rFonts w:ascii="Garamond" w:hAnsi="Garamond"/>
        </w:rPr>
        <w:footnoteRef/>
      </w:r>
      <w:r w:rsidRPr="00E46FDA">
        <w:rPr>
          <w:rFonts w:ascii="Garamond" w:hAnsi="Garamond"/>
        </w:rPr>
        <w:t xml:space="preserve"> GRCMA2019, Core Fixed Cost Account (CFCA), GHGBA, Master Meter Balancing Account (MMBA), and Safety Enhancement     Capital Cost Balancing Account (SECCBA).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2AB1ABC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13E3383" w14:textId="03DBDA9E" w:rsidR="00A42FDB" w:rsidRPr="002C361D" w:rsidRDefault="00A42FDB" w:rsidP="002C361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E6314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January 2022</w:t>
          </w:r>
        </w:p>
      </w:tc>
      <w:tc>
        <w:tcPr>
          <w:tcW w:w="6151" w:type="dxa"/>
          <w:shd w:val="clear" w:color="auto" w:fill="002060"/>
          <w:vAlign w:val="center"/>
        </w:tcPr>
        <w:p w14:paraId="7A4B29B0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308B43F1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9BA49E4" w14:textId="3DACE53F" w:rsidR="00A42FDB" w:rsidRPr="005D2EAB" w:rsidRDefault="006718D6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084FF1" wp14:editId="03A02A95">
                <wp:simplePos x="0" y="0"/>
                <wp:positionH relativeFrom="column">
                  <wp:posOffset>332740</wp:posOffset>
                </wp:positionH>
                <wp:positionV relativeFrom="paragraph">
                  <wp:posOffset>148590</wp:posOffset>
                </wp:positionV>
                <wp:extent cx="715645" cy="758190"/>
                <wp:effectExtent l="0" t="0" r="8255" b="3810"/>
                <wp:wrapTopAndBottom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90C123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19F47A57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4EACFEB4" w14:textId="51F50F44" w:rsidR="00A42FDB" w:rsidRPr="002C361D" w:rsidRDefault="00A42FDB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</w:t>
          </w:r>
          <w:r w:rsidR="00436886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January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</w:t>
          </w:r>
          <w:r w:rsidR="00151791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</w:t>
          </w:r>
        </w:p>
      </w:tc>
      <w:tc>
        <w:tcPr>
          <w:tcW w:w="6151" w:type="dxa"/>
          <w:shd w:val="clear" w:color="auto" w:fill="002060"/>
          <w:vAlign w:val="center"/>
        </w:tcPr>
        <w:p w14:paraId="15EECC25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5DB415B5" w14:textId="262DC0D8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0B1A42F" w14:textId="3A2B95F9" w:rsidR="00A42FDB" w:rsidRPr="005D2EAB" w:rsidRDefault="006718D6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71FD6C" wp14:editId="7DA60213">
                <wp:simplePos x="0" y="0"/>
                <wp:positionH relativeFrom="column">
                  <wp:posOffset>307975</wp:posOffset>
                </wp:positionH>
                <wp:positionV relativeFrom="paragraph">
                  <wp:posOffset>100965</wp:posOffset>
                </wp:positionV>
                <wp:extent cx="744855" cy="809625"/>
                <wp:effectExtent l="0" t="0" r="0" b="9525"/>
                <wp:wrapTopAndBottom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8BA4A" w14:textId="6B7109E4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65pt;height:11.6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3388"/>
    <w:multiLevelType w:val="hybridMultilevel"/>
    <w:tmpl w:val="C8E0C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A24238"/>
    <w:multiLevelType w:val="hybridMultilevel"/>
    <w:tmpl w:val="4C68B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C403C"/>
    <w:multiLevelType w:val="hybridMultilevel"/>
    <w:tmpl w:val="BF9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1688"/>
    <w:multiLevelType w:val="hybridMultilevel"/>
    <w:tmpl w:val="A8F20050"/>
    <w:lvl w:ilvl="0" w:tplc="6E960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32FAE"/>
    <w:multiLevelType w:val="hybridMultilevel"/>
    <w:tmpl w:val="1D2E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9C9"/>
    <w:multiLevelType w:val="hybridMultilevel"/>
    <w:tmpl w:val="6B28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B3029"/>
    <w:multiLevelType w:val="hybridMultilevel"/>
    <w:tmpl w:val="015CA4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3252F7"/>
    <w:multiLevelType w:val="hybridMultilevel"/>
    <w:tmpl w:val="1C8A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D1399"/>
    <w:multiLevelType w:val="hybridMultilevel"/>
    <w:tmpl w:val="1F8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E1AFE"/>
    <w:multiLevelType w:val="hybridMultilevel"/>
    <w:tmpl w:val="C6CAD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7"/>
  </w:num>
  <w:num w:numId="5">
    <w:abstractNumId w:val="2"/>
  </w:num>
  <w:num w:numId="6">
    <w:abstractNumId w:val="24"/>
  </w:num>
  <w:num w:numId="7">
    <w:abstractNumId w:val="5"/>
  </w:num>
  <w:num w:numId="8">
    <w:abstractNumId w:val="8"/>
  </w:num>
  <w:num w:numId="9">
    <w:abstractNumId w:val="6"/>
  </w:num>
  <w:num w:numId="10">
    <w:abstractNumId w:val="20"/>
  </w:num>
  <w:num w:numId="11">
    <w:abstractNumId w:val="11"/>
  </w:num>
  <w:num w:numId="12">
    <w:abstractNumId w:val="22"/>
  </w:num>
  <w:num w:numId="13">
    <w:abstractNumId w:val="4"/>
  </w:num>
  <w:num w:numId="14">
    <w:abstractNumId w:val="18"/>
  </w:num>
  <w:num w:numId="15">
    <w:abstractNumId w:val="1"/>
  </w:num>
  <w:num w:numId="16">
    <w:abstractNumId w:val="9"/>
  </w:num>
  <w:num w:numId="17">
    <w:abstractNumId w:val="26"/>
  </w:num>
  <w:num w:numId="18">
    <w:abstractNumId w:val="17"/>
  </w:num>
  <w:num w:numId="19">
    <w:abstractNumId w:val="16"/>
  </w:num>
  <w:num w:numId="20">
    <w:abstractNumId w:val="25"/>
  </w:num>
  <w:num w:numId="21">
    <w:abstractNumId w:val="3"/>
  </w:num>
  <w:num w:numId="22">
    <w:abstractNumId w:val="12"/>
  </w:num>
  <w:num w:numId="23">
    <w:abstractNumId w:val="23"/>
  </w:num>
  <w:num w:numId="24">
    <w:abstractNumId w:val="21"/>
  </w:num>
  <w:num w:numId="25">
    <w:abstractNumId w:val="19"/>
  </w:num>
  <w:num w:numId="26">
    <w:abstractNumId w:val="15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3024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125F"/>
    <w:rsid w:val="00045CDD"/>
    <w:rsid w:val="000557D0"/>
    <w:rsid w:val="0006665E"/>
    <w:rsid w:val="0007148B"/>
    <w:rsid w:val="00082BD3"/>
    <w:rsid w:val="000A298C"/>
    <w:rsid w:val="000A37E9"/>
    <w:rsid w:val="000A58EF"/>
    <w:rsid w:val="000B4491"/>
    <w:rsid w:val="000C4126"/>
    <w:rsid w:val="000D17D3"/>
    <w:rsid w:val="000D6E0B"/>
    <w:rsid w:val="000E3D03"/>
    <w:rsid w:val="000F5CB5"/>
    <w:rsid w:val="0011460E"/>
    <w:rsid w:val="001227B5"/>
    <w:rsid w:val="00130972"/>
    <w:rsid w:val="0013126F"/>
    <w:rsid w:val="001314AE"/>
    <w:rsid w:val="00151791"/>
    <w:rsid w:val="00165273"/>
    <w:rsid w:val="001923C3"/>
    <w:rsid w:val="00197C00"/>
    <w:rsid w:val="001A1AC1"/>
    <w:rsid w:val="001A21DB"/>
    <w:rsid w:val="001A70F5"/>
    <w:rsid w:val="001B6393"/>
    <w:rsid w:val="001C6A74"/>
    <w:rsid w:val="001D291E"/>
    <w:rsid w:val="002027EB"/>
    <w:rsid w:val="00207A98"/>
    <w:rsid w:val="00210772"/>
    <w:rsid w:val="00211A70"/>
    <w:rsid w:val="00215198"/>
    <w:rsid w:val="00216078"/>
    <w:rsid w:val="002164F7"/>
    <w:rsid w:val="00225BA9"/>
    <w:rsid w:val="0022639A"/>
    <w:rsid w:val="0023292D"/>
    <w:rsid w:val="00232F13"/>
    <w:rsid w:val="0023767B"/>
    <w:rsid w:val="0024182E"/>
    <w:rsid w:val="00244F7D"/>
    <w:rsid w:val="00247273"/>
    <w:rsid w:val="00247CD5"/>
    <w:rsid w:val="00247F2E"/>
    <w:rsid w:val="00255AB7"/>
    <w:rsid w:val="002604B0"/>
    <w:rsid w:val="00260D99"/>
    <w:rsid w:val="00261F48"/>
    <w:rsid w:val="00264F19"/>
    <w:rsid w:val="0027768E"/>
    <w:rsid w:val="002826A9"/>
    <w:rsid w:val="0029088B"/>
    <w:rsid w:val="0029353E"/>
    <w:rsid w:val="002A2068"/>
    <w:rsid w:val="002A2DE6"/>
    <w:rsid w:val="002A770B"/>
    <w:rsid w:val="002B32F2"/>
    <w:rsid w:val="002C1FD7"/>
    <w:rsid w:val="002C361D"/>
    <w:rsid w:val="002D55E3"/>
    <w:rsid w:val="002D7CB3"/>
    <w:rsid w:val="002E4099"/>
    <w:rsid w:val="002F641D"/>
    <w:rsid w:val="00304F5A"/>
    <w:rsid w:val="00312C6C"/>
    <w:rsid w:val="00313C67"/>
    <w:rsid w:val="003148B3"/>
    <w:rsid w:val="0032676E"/>
    <w:rsid w:val="0032777C"/>
    <w:rsid w:val="003362B4"/>
    <w:rsid w:val="003373DE"/>
    <w:rsid w:val="0036029F"/>
    <w:rsid w:val="003664D6"/>
    <w:rsid w:val="00375A37"/>
    <w:rsid w:val="00383440"/>
    <w:rsid w:val="003A5EDF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0561E"/>
    <w:rsid w:val="004109D4"/>
    <w:rsid w:val="00416902"/>
    <w:rsid w:val="00420AE1"/>
    <w:rsid w:val="00421E5E"/>
    <w:rsid w:val="004308B1"/>
    <w:rsid w:val="00433148"/>
    <w:rsid w:val="00436886"/>
    <w:rsid w:val="004430A4"/>
    <w:rsid w:val="00443CAD"/>
    <w:rsid w:val="004576EC"/>
    <w:rsid w:val="004642EC"/>
    <w:rsid w:val="00467C49"/>
    <w:rsid w:val="00474F83"/>
    <w:rsid w:val="00475E36"/>
    <w:rsid w:val="00487DDA"/>
    <w:rsid w:val="00493728"/>
    <w:rsid w:val="004941D2"/>
    <w:rsid w:val="00497EB9"/>
    <w:rsid w:val="004A2C07"/>
    <w:rsid w:val="004A7E44"/>
    <w:rsid w:val="004B0515"/>
    <w:rsid w:val="004D5309"/>
    <w:rsid w:val="004E54A3"/>
    <w:rsid w:val="004F0FB0"/>
    <w:rsid w:val="004F467C"/>
    <w:rsid w:val="004F6611"/>
    <w:rsid w:val="004F7B2B"/>
    <w:rsid w:val="00501AE2"/>
    <w:rsid w:val="00506C17"/>
    <w:rsid w:val="0051222C"/>
    <w:rsid w:val="00512B1B"/>
    <w:rsid w:val="00513835"/>
    <w:rsid w:val="005179CC"/>
    <w:rsid w:val="00517B60"/>
    <w:rsid w:val="00522DAA"/>
    <w:rsid w:val="00530D7C"/>
    <w:rsid w:val="00531FB3"/>
    <w:rsid w:val="0053241B"/>
    <w:rsid w:val="005324E1"/>
    <w:rsid w:val="00532EA7"/>
    <w:rsid w:val="00534099"/>
    <w:rsid w:val="0053554C"/>
    <w:rsid w:val="005363FD"/>
    <w:rsid w:val="005372D9"/>
    <w:rsid w:val="0054359F"/>
    <w:rsid w:val="005517C6"/>
    <w:rsid w:val="00563C75"/>
    <w:rsid w:val="00571C5D"/>
    <w:rsid w:val="00575FEF"/>
    <w:rsid w:val="0058317E"/>
    <w:rsid w:val="00583A04"/>
    <w:rsid w:val="00585281"/>
    <w:rsid w:val="005C4EC3"/>
    <w:rsid w:val="005D13A8"/>
    <w:rsid w:val="005D2EAB"/>
    <w:rsid w:val="005D7AD3"/>
    <w:rsid w:val="005E4368"/>
    <w:rsid w:val="005F4F7C"/>
    <w:rsid w:val="006106AE"/>
    <w:rsid w:val="00613378"/>
    <w:rsid w:val="00640B0E"/>
    <w:rsid w:val="00642529"/>
    <w:rsid w:val="006431EF"/>
    <w:rsid w:val="006465FE"/>
    <w:rsid w:val="00661780"/>
    <w:rsid w:val="00670772"/>
    <w:rsid w:val="006718D6"/>
    <w:rsid w:val="0067331F"/>
    <w:rsid w:val="006747CF"/>
    <w:rsid w:val="00674A43"/>
    <w:rsid w:val="00675C39"/>
    <w:rsid w:val="00680A0B"/>
    <w:rsid w:val="00680B26"/>
    <w:rsid w:val="00682BFD"/>
    <w:rsid w:val="00692345"/>
    <w:rsid w:val="00693AD1"/>
    <w:rsid w:val="00693FCB"/>
    <w:rsid w:val="006A05D6"/>
    <w:rsid w:val="006B071B"/>
    <w:rsid w:val="006B1C2F"/>
    <w:rsid w:val="006B3518"/>
    <w:rsid w:val="006B6F75"/>
    <w:rsid w:val="006B7F07"/>
    <w:rsid w:val="006D4605"/>
    <w:rsid w:val="006D5A7C"/>
    <w:rsid w:val="006F186F"/>
    <w:rsid w:val="006F4F92"/>
    <w:rsid w:val="00704D6C"/>
    <w:rsid w:val="00714B95"/>
    <w:rsid w:val="00715E59"/>
    <w:rsid w:val="007337FB"/>
    <w:rsid w:val="007350FA"/>
    <w:rsid w:val="00736959"/>
    <w:rsid w:val="00740A58"/>
    <w:rsid w:val="007429B0"/>
    <w:rsid w:val="00747A77"/>
    <w:rsid w:val="00750033"/>
    <w:rsid w:val="007501A3"/>
    <w:rsid w:val="00750F49"/>
    <w:rsid w:val="0075685A"/>
    <w:rsid w:val="00764CCE"/>
    <w:rsid w:val="00770686"/>
    <w:rsid w:val="00774545"/>
    <w:rsid w:val="00774E68"/>
    <w:rsid w:val="0077538E"/>
    <w:rsid w:val="007821A8"/>
    <w:rsid w:val="0078316C"/>
    <w:rsid w:val="00785260"/>
    <w:rsid w:val="007875CA"/>
    <w:rsid w:val="0079582D"/>
    <w:rsid w:val="007A4959"/>
    <w:rsid w:val="007B22E5"/>
    <w:rsid w:val="007B6E1C"/>
    <w:rsid w:val="007C0FA4"/>
    <w:rsid w:val="007E53BD"/>
    <w:rsid w:val="007F0247"/>
    <w:rsid w:val="007F4948"/>
    <w:rsid w:val="007F6FCF"/>
    <w:rsid w:val="007F735D"/>
    <w:rsid w:val="008028BD"/>
    <w:rsid w:val="00804A0B"/>
    <w:rsid w:val="00805C23"/>
    <w:rsid w:val="00814514"/>
    <w:rsid w:val="00821BC9"/>
    <w:rsid w:val="00826202"/>
    <w:rsid w:val="0085067B"/>
    <w:rsid w:val="00851B27"/>
    <w:rsid w:val="00851DBB"/>
    <w:rsid w:val="00860A36"/>
    <w:rsid w:val="008611D6"/>
    <w:rsid w:val="00864586"/>
    <w:rsid w:val="0087708C"/>
    <w:rsid w:val="0089340B"/>
    <w:rsid w:val="00894283"/>
    <w:rsid w:val="008A19CA"/>
    <w:rsid w:val="008A6E99"/>
    <w:rsid w:val="008B4F7C"/>
    <w:rsid w:val="008B4FB2"/>
    <w:rsid w:val="008B545E"/>
    <w:rsid w:val="008C150B"/>
    <w:rsid w:val="008F0EAE"/>
    <w:rsid w:val="008F3C57"/>
    <w:rsid w:val="008F62D4"/>
    <w:rsid w:val="008F7704"/>
    <w:rsid w:val="009028CF"/>
    <w:rsid w:val="00904F9A"/>
    <w:rsid w:val="00906436"/>
    <w:rsid w:val="00906D2F"/>
    <w:rsid w:val="00906DB9"/>
    <w:rsid w:val="0091796E"/>
    <w:rsid w:val="00922834"/>
    <w:rsid w:val="00923392"/>
    <w:rsid w:val="00943AA0"/>
    <w:rsid w:val="00960614"/>
    <w:rsid w:val="00962953"/>
    <w:rsid w:val="0096622A"/>
    <w:rsid w:val="00983DE9"/>
    <w:rsid w:val="009853D3"/>
    <w:rsid w:val="00990645"/>
    <w:rsid w:val="009917BB"/>
    <w:rsid w:val="00997619"/>
    <w:rsid w:val="009A4345"/>
    <w:rsid w:val="009A5A01"/>
    <w:rsid w:val="009A6C98"/>
    <w:rsid w:val="009B13C0"/>
    <w:rsid w:val="009B28BF"/>
    <w:rsid w:val="009C1F06"/>
    <w:rsid w:val="009C2E65"/>
    <w:rsid w:val="009C3658"/>
    <w:rsid w:val="009C413D"/>
    <w:rsid w:val="009F2F79"/>
    <w:rsid w:val="009F37FD"/>
    <w:rsid w:val="00A04EDD"/>
    <w:rsid w:val="00A100CA"/>
    <w:rsid w:val="00A12A44"/>
    <w:rsid w:val="00A14F8E"/>
    <w:rsid w:val="00A24FB2"/>
    <w:rsid w:val="00A31DB8"/>
    <w:rsid w:val="00A348B1"/>
    <w:rsid w:val="00A3613C"/>
    <w:rsid w:val="00A42FDB"/>
    <w:rsid w:val="00A4650C"/>
    <w:rsid w:val="00A47711"/>
    <w:rsid w:val="00A47930"/>
    <w:rsid w:val="00A47DBF"/>
    <w:rsid w:val="00A54A53"/>
    <w:rsid w:val="00A565BE"/>
    <w:rsid w:val="00A56964"/>
    <w:rsid w:val="00A64E58"/>
    <w:rsid w:val="00A86289"/>
    <w:rsid w:val="00A91BF9"/>
    <w:rsid w:val="00A9325D"/>
    <w:rsid w:val="00A93410"/>
    <w:rsid w:val="00A9594E"/>
    <w:rsid w:val="00AA1472"/>
    <w:rsid w:val="00AA5D1C"/>
    <w:rsid w:val="00AC43F9"/>
    <w:rsid w:val="00AC561B"/>
    <w:rsid w:val="00AC5C9F"/>
    <w:rsid w:val="00AC796F"/>
    <w:rsid w:val="00AD2B02"/>
    <w:rsid w:val="00AD5628"/>
    <w:rsid w:val="00AE3495"/>
    <w:rsid w:val="00AE5D54"/>
    <w:rsid w:val="00AF08F7"/>
    <w:rsid w:val="00AF7013"/>
    <w:rsid w:val="00B10D1A"/>
    <w:rsid w:val="00B12BBD"/>
    <w:rsid w:val="00B15B25"/>
    <w:rsid w:val="00B2335F"/>
    <w:rsid w:val="00B30AA1"/>
    <w:rsid w:val="00B3510B"/>
    <w:rsid w:val="00B67CC1"/>
    <w:rsid w:val="00B72746"/>
    <w:rsid w:val="00B77B78"/>
    <w:rsid w:val="00B8732B"/>
    <w:rsid w:val="00B90CB9"/>
    <w:rsid w:val="00BA11E4"/>
    <w:rsid w:val="00BA16DB"/>
    <w:rsid w:val="00BB0D05"/>
    <w:rsid w:val="00BB3903"/>
    <w:rsid w:val="00BB7348"/>
    <w:rsid w:val="00BC591F"/>
    <w:rsid w:val="00BD1059"/>
    <w:rsid w:val="00BD2851"/>
    <w:rsid w:val="00BE17F2"/>
    <w:rsid w:val="00BF53B3"/>
    <w:rsid w:val="00BF5B47"/>
    <w:rsid w:val="00C011FD"/>
    <w:rsid w:val="00C21A02"/>
    <w:rsid w:val="00C459C9"/>
    <w:rsid w:val="00C63C9B"/>
    <w:rsid w:val="00C67186"/>
    <w:rsid w:val="00C72AE1"/>
    <w:rsid w:val="00C83FB0"/>
    <w:rsid w:val="00C84C80"/>
    <w:rsid w:val="00C85647"/>
    <w:rsid w:val="00C856A2"/>
    <w:rsid w:val="00C87F18"/>
    <w:rsid w:val="00C9733D"/>
    <w:rsid w:val="00CA2061"/>
    <w:rsid w:val="00CA65A7"/>
    <w:rsid w:val="00CA7021"/>
    <w:rsid w:val="00CB4F96"/>
    <w:rsid w:val="00CC0499"/>
    <w:rsid w:val="00CD3764"/>
    <w:rsid w:val="00CD60DB"/>
    <w:rsid w:val="00CE1624"/>
    <w:rsid w:val="00CF044A"/>
    <w:rsid w:val="00CF4BB6"/>
    <w:rsid w:val="00D00D38"/>
    <w:rsid w:val="00D01D0F"/>
    <w:rsid w:val="00D10B02"/>
    <w:rsid w:val="00D13742"/>
    <w:rsid w:val="00D26DE7"/>
    <w:rsid w:val="00D31094"/>
    <w:rsid w:val="00D36031"/>
    <w:rsid w:val="00D410D3"/>
    <w:rsid w:val="00D431EC"/>
    <w:rsid w:val="00D44ED3"/>
    <w:rsid w:val="00D53687"/>
    <w:rsid w:val="00D636DC"/>
    <w:rsid w:val="00D6482E"/>
    <w:rsid w:val="00D64A9A"/>
    <w:rsid w:val="00D76BF3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23FA"/>
    <w:rsid w:val="00DE00A6"/>
    <w:rsid w:val="00DE6B07"/>
    <w:rsid w:val="00DF5EE7"/>
    <w:rsid w:val="00E07248"/>
    <w:rsid w:val="00E15290"/>
    <w:rsid w:val="00E17ECA"/>
    <w:rsid w:val="00E21C90"/>
    <w:rsid w:val="00E30A95"/>
    <w:rsid w:val="00E3304B"/>
    <w:rsid w:val="00E33B56"/>
    <w:rsid w:val="00E40E09"/>
    <w:rsid w:val="00E46AC1"/>
    <w:rsid w:val="00E46FDA"/>
    <w:rsid w:val="00E53CF3"/>
    <w:rsid w:val="00E62EB2"/>
    <w:rsid w:val="00E6314D"/>
    <w:rsid w:val="00E64305"/>
    <w:rsid w:val="00E6680E"/>
    <w:rsid w:val="00E74DA5"/>
    <w:rsid w:val="00E74DCD"/>
    <w:rsid w:val="00E767CC"/>
    <w:rsid w:val="00E81868"/>
    <w:rsid w:val="00E94F03"/>
    <w:rsid w:val="00E97440"/>
    <w:rsid w:val="00E97705"/>
    <w:rsid w:val="00E97749"/>
    <w:rsid w:val="00EB01E7"/>
    <w:rsid w:val="00EB68DB"/>
    <w:rsid w:val="00EB6CA7"/>
    <w:rsid w:val="00EB7799"/>
    <w:rsid w:val="00EC2501"/>
    <w:rsid w:val="00EC65F4"/>
    <w:rsid w:val="00EC7526"/>
    <w:rsid w:val="00EC7F37"/>
    <w:rsid w:val="00ED1B8A"/>
    <w:rsid w:val="00ED52D1"/>
    <w:rsid w:val="00EE008F"/>
    <w:rsid w:val="00EE1405"/>
    <w:rsid w:val="00EE514E"/>
    <w:rsid w:val="00EE5D73"/>
    <w:rsid w:val="00EE6014"/>
    <w:rsid w:val="00EE6524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0EB5"/>
    <w:rsid w:val="00F622E1"/>
    <w:rsid w:val="00F6366C"/>
    <w:rsid w:val="00F64336"/>
    <w:rsid w:val="00F65809"/>
    <w:rsid w:val="00F67D94"/>
    <w:rsid w:val="00F71284"/>
    <w:rsid w:val="00F85BA0"/>
    <w:rsid w:val="00F8756A"/>
    <w:rsid w:val="00F94C28"/>
    <w:rsid w:val="00F97A4E"/>
    <w:rsid w:val="00FA7045"/>
    <w:rsid w:val="00FA7BC8"/>
    <w:rsid w:val="00FB198C"/>
    <w:rsid w:val="00FD3A7D"/>
    <w:rsid w:val="00FD4D9F"/>
    <w:rsid w:val="00FE09FF"/>
    <w:rsid w:val="00FE18AB"/>
    <w:rsid w:val="00FE1F46"/>
    <w:rsid w:val="00FE2136"/>
    <w:rsid w:val="00FE3ACD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F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B9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styleId="GridTable3-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styleId="GridTable5Dark-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paragraph" w:styleId="Revision">
    <w:name w:val="Revision"/>
    <w:hidden/>
    <w:uiPriority w:val="99"/>
    <w:semiHidden/>
    <w:rsid w:val="0051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99216-DF74-4554-8A47-8548D5D315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subject/>
  <dc:creator/>
  <cp:keywords/>
  <dc:description/>
  <cp:lastModifiedBy/>
  <cp:revision>1</cp:revision>
  <dcterms:created xsi:type="dcterms:W3CDTF">2022-01-03T23:59:00Z</dcterms:created>
  <dcterms:modified xsi:type="dcterms:W3CDTF">2022-01-03T23:59:00Z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