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C9682" w14:textId="41DF7EDF" w:rsidR="00CC5559" w:rsidRDefault="00E451FA" w:rsidP="0078294C">
      <w:pPr>
        <w:ind w:firstLine="0"/>
        <w:rPr>
          <w:rFonts w:ascii="Century Gothic" w:hAnsi="Century Gothic" w:cs="Calibri"/>
        </w:rPr>
      </w:pPr>
      <w:r w:rsidRPr="77DA638A">
        <w:rPr>
          <w:rFonts w:ascii="Century Gothic" w:hAnsi="Century Gothic" w:cs="Calibri"/>
          <w:b/>
          <w:bCs/>
          <w:color w:val="7030A0"/>
        </w:rPr>
        <w:t>SC</w:t>
      </w:r>
      <w:r w:rsidR="00D654D1" w:rsidRPr="77DA638A">
        <w:rPr>
          <w:rFonts w:ascii="Century Gothic" w:hAnsi="Century Gothic" w:cs="Calibri"/>
          <w:b/>
          <w:bCs/>
          <w:color w:val="7030A0"/>
        </w:rPr>
        <w:t>E</w:t>
      </w:r>
      <w:r w:rsidR="00B9638F" w:rsidRPr="77DA638A">
        <w:rPr>
          <w:rFonts w:ascii="Century Gothic" w:hAnsi="Century Gothic" w:cs="Calibri"/>
          <w:b/>
          <w:bCs/>
          <w:color w:val="7030A0"/>
        </w:rPr>
        <w:t xml:space="preserve"> </w:t>
      </w:r>
      <w:r w:rsidR="00421E5E" w:rsidRPr="77DA638A">
        <w:rPr>
          <w:rFonts w:ascii="Century Gothic" w:hAnsi="Century Gothic" w:cs="Calibri"/>
          <w:b/>
          <w:bCs/>
          <w:color w:val="7030A0"/>
        </w:rPr>
        <w:t xml:space="preserve">Advice Letter – </w:t>
      </w:r>
      <w:r w:rsidR="006817F9" w:rsidRPr="77DA638A">
        <w:rPr>
          <w:rFonts w:ascii="Century Gothic" w:hAnsi="Century Gothic" w:cs="Calibri"/>
        </w:rPr>
        <w:t xml:space="preserve">SCE submitted </w:t>
      </w:r>
      <w:r w:rsidR="00827978" w:rsidRPr="77DA638A">
        <w:rPr>
          <w:rFonts w:ascii="Century Gothic" w:hAnsi="Century Gothic" w:cs="Calibri"/>
        </w:rPr>
        <w:t xml:space="preserve">Consolidated </w:t>
      </w:r>
      <w:r w:rsidR="00D14A94" w:rsidRPr="77DA638A">
        <w:rPr>
          <w:rFonts w:ascii="Century Gothic" w:hAnsi="Century Gothic" w:cs="Calibri"/>
        </w:rPr>
        <w:t>Advice Letter</w:t>
      </w:r>
      <w:r w:rsidR="0A34270B" w:rsidRPr="77DA638A">
        <w:rPr>
          <w:rFonts w:ascii="Century Gothic" w:hAnsi="Century Gothic" w:cs="Calibri"/>
        </w:rPr>
        <w:t xml:space="preserve"> (AL)</w:t>
      </w:r>
      <w:r w:rsidR="00D14A94" w:rsidRPr="77DA638A">
        <w:rPr>
          <w:rFonts w:ascii="Century Gothic" w:hAnsi="Century Gothic" w:cs="Calibri"/>
        </w:rPr>
        <w:t xml:space="preserve"> </w:t>
      </w:r>
      <w:r w:rsidR="00827978" w:rsidRPr="77DA638A">
        <w:rPr>
          <w:rFonts w:ascii="Century Gothic" w:hAnsi="Century Gothic" w:cs="Calibri"/>
        </w:rPr>
        <w:t>4488</w:t>
      </w:r>
      <w:r w:rsidR="006817F9" w:rsidRPr="77DA638A">
        <w:rPr>
          <w:rFonts w:ascii="Century Gothic" w:hAnsi="Century Gothic" w:cs="Calibri"/>
        </w:rPr>
        <w:t>-E</w:t>
      </w:r>
      <w:r w:rsidR="00827978" w:rsidRPr="77DA638A">
        <w:rPr>
          <w:rFonts w:ascii="Century Gothic" w:hAnsi="Century Gothic" w:cs="Calibri"/>
        </w:rPr>
        <w:t xml:space="preserve"> on April 30</w:t>
      </w:r>
      <w:r w:rsidR="006817F9" w:rsidRPr="77DA638A">
        <w:rPr>
          <w:rFonts w:ascii="Century Gothic" w:hAnsi="Century Gothic" w:cs="Calibri"/>
        </w:rPr>
        <w:t>, 202</w:t>
      </w:r>
      <w:r w:rsidR="00827978" w:rsidRPr="77DA638A">
        <w:rPr>
          <w:rFonts w:ascii="Century Gothic" w:hAnsi="Century Gothic" w:cs="Calibri"/>
        </w:rPr>
        <w:t>1</w:t>
      </w:r>
      <w:r w:rsidR="007A1E31" w:rsidRPr="77DA638A">
        <w:rPr>
          <w:rFonts w:ascii="Century Gothic" w:hAnsi="Century Gothic" w:cs="Calibri"/>
          <w:lang w:eastAsia="zh-TW"/>
        </w:rPr>
        <w:t>,</w:t>
      </w:r>
      <w:r w:rsidR="00827978" w:rsidRPr="77DA638A">
        <w:rPr>
          <w:rFonts w:ascii="Century Gothic" w:hAnsi="Century Gothic" w:cs="Calibri"/>
        </w:rPr>
        <w:t xml:space="preserve"> which was supplemented by</w:t>
      </w:r>
      <w:r w:rsidR="086306FB" w:rsidRPr="77DA638A">
        <w:rPr>
          <w:rFonts w:ascii="Century Gothic" w:hAnsi="Century Gothic" w:cs="Calibri"/>
        </w:rPr>
        <w:t xml:space="preserve"> AL</w:t>
      </w:r>
      <w:r w:rsidR="00827978" w:rsidRPr="77DA638A">
        <w:rPr>
          <w:rFonts w:ascii="Century Gothic" w:hAnsi="Century Gothic" w:cs="Calibri"/>
        </w:rPr>
        <w:t xml:space="preserve"> 4488-E-A on May 14</w:t>
      </w:r>
      <w:r w:rsidR="006817F9" w:rsidRPr="77DA638A">
        <w:rPr>
          <w:rFonts w:ascii="Century Gothic" w:hAnsi="Century Gothic" w:cs="Calibri"/>
        </w:rPr>
        <w:t xml:space="preserve">. </w:t>
      </w:r>
      <w:r w:rsidR="3F283EDE" w:rsidRPr="77DA638A">
        <w:rPr>
          <w:rFonts w:ascii="Century Gothic" w:hAnsi="Century Gothic" w:cs="Calibri"/>
        </w:rPr>
        <w:t>Th</w:t>
      </w:r>
      <w:r w:rsidR="55E17892" w:rsidRPr="77DA638A">
        <w:rPr>
          <w:rFonts w:ascii="Century Gothic" w:hAnsi="Century Gothic" w:cs="Calibri"/>
        </w:rPr>
        <w:t>ese</w:t>
      </w:r>
      <w:r w:rsidR="02A2F622" w:rsidRPr="77DA638A">
        <w:rPr>
          <w:rFonts w:ascii="Century Gothic" w:hAnsi="Century Gothic" w:cs="Calibri"/>
        </w:rPr>
        <w:t xml:space="preserve"> </w:t>
      </w:r>
      <w:r w:rsidR="25951CD8" w:rsidRPr="77DA638A">
        <w:rPr>
          <w:rFonts w:ascii="Century Gothic" w:hAnsi="Century Gothic" w:cs="Calibri"/>
        </w:rPr>
        <w:t xml:space="preserve">advice letter </w:t>
      </w:r>
      <w:r w:rsidR="02A2F622" w:rsidRPr="77DA638A">
        <w:rPr>
          <w:rFonts w:ascii="Century Gothic" w:hAnsi="Century Gothic" w:cs="Calibri"/>
        </w:rPr>
        <w:t>filing</w:t>
      </w:r>
      <w:r w:rsidR="2C94383D" w:rsidRPr="77DA638A">
        <w:rPr>
          <w:rFonts w:ascii="Century Gothic" w:hAnsi="Century Gothic" w:cs="Calibri"/>
        </w:rPr>
        <w:t>s</w:t>
      </w:r>
      <w:r w:rsidR="02A2F622" w:rsidRPr="77DA638A">
        <w:rPr>
          <w:rFonts w:ascii="Century Gothic" w:hAnsi="Century Gothic" w:cs="Calibri"/>
        </w:rPr>
        <w:t xml:space="preserve"> </w:t>
      </w:r>
      <w:r w:rsidR="225CB2C8" w:rsidRPr="77DA638A">
        <w:rPr>
          <w:rFonts w:ascii="Century Gothic" w:hAnsi="Century Gothic" w:cs="Calibri"/>
        </w:rPr>
        <w:t>combine several rate changes into on</w:t>
      </w:r>
      <w:r w:rsidR="33825B35" w:rsidRPr="77DA638A">
        <w:rPr>
          <w:rFonts w:ascii="Century Gothic" w:hAnsi="Century Gothic" w:cs="Calibri"/>
        </w:rPr>
        <w:t>e</w:t>
      </w:r>
      <w:r w:rsidR="002B55CB">
        <w:rPr>
          <w:rFonts w:ascii="Century Gothic" w:hAnsi="Century Gothic" w:cs="Calibri"/>
        </w:rPr>
        <w:t>,</w:t>
      </w:r>
      <w:r w:rsidR="4CDA5ECB" w:rsidRPr="77DA638A">
        <w:rPr>
          <w:rFonts w:ascii="Century Gothic" w:hAnsi="Century Gothic" w:cs="Calibri"/>
        </w:rPr>
        <w:t xml:space="preserve"> resulting in </w:t>
      </w:r>
      <w:r w:rsidR="54FE4E66" w:rsidRPr="77DA638A">
        <w:rPr>
          <w:rFonts w:ascii="Century Gothic" w:hAnsi="Century Gothic" w:cs="Calibri"/>
        </w:rPr>
        <w:t xml:space="preserve">a </w:t>
      </w:r>
      <w:r w:rsidR="7034EC92" w:rsidRPr="77DA638A">
        <w:rPr>
          <w:rFonts w:ascii="Century Gothic" w:hAnsi="Century Gothic" w:cs="Calibri"/>
        </w:rPr>
        <w:t xml:space="preserve">net </w:t>
      </w:r>
      <w:r w:rsidR="54FE4E66" w:rsidRPr="77DA638A">
        <w:rPr>
          <w:rFonts w:ascii="Century Gothic" w:hAnsi="Century Gothic" w:cs="Calibri"/>
        </w:rPr>
        <w:t xml:space="preserve">1% increase in </w:t>
      </w:r>
      <w:r w:rsidR="00F50C4F" w:rsidRPr="77DA638A">
        <w:rPr>
          <w:rFonts w:ascii="Century Gothic" w:hAnsi="Century Gothic" w:cs="Calibri"/>
        </w:rPr>
        <w:t xml:space="preserve">electric </w:t>
      </w:r>
      <w:r w:rsidR="00D431B7" w:rsidRPr="77DA638A">
        <w:rPr>
          <w:rFonts w:ascii="Century Gothic" w:hAnsi="Century Gothic" w:cs="Calibri"/>
        </w:rPr>
        <w:t>rate</w:t>
      </w:r>
      <w:r w:rsidR="54B95777" w:rsidRPr="77DA638A">
        <w:rPr>
          <w:rFonts w:ascii="Century Gothic" w:hAnsi="Century Gothic" w:cs="Calibri"/>
        </w:rPr>
        <w:t>s</w:t>
      </w:r>
      <w:r w:rsidR="00D431B7" w:rsidRPr="77DA638A">
        <w:rPr>
          <w:rFonts w:ascii="Century Gothic" w:hAnsi="Century Gothic" w:cs="Calibri"/>
        </w:rPr>
        <w:t xml:space="preserve"> and bill</w:t>
      </w:r>
      <w:r w:rsidR="25F8C037" w:rsidRPr="77DA638A">
        <w:rPr>
          <w:rFonts w:ascii="Century Gothic" w:hAnsi="Century Gothic" w:cs="Calibri"/>
        </w:rPr>
        <w:t>s</w:t>
      </w:r>
      <w:r w:rsidR="00D431B7" w:rsidRPr="77DA638A">
        <w:rPr>
          <w:rFonts w:ascii="Century Gothic" w:hAnsi="Century Gothic" w:cs="Calibri"/>
        </w:rPr>
        <w:t xml:space="preserve"> beginning on </w:t>
      </w:r>
      <w:r w:rsidR="00827978" w:rsidRPr="77DA638A">
        <w:rPr>
          <w:rFonts w:ascii="Century Gothic" w:hAnsi="Century Gothic" w:cs="Calibri"/>
        </w:rPr>
        <w:t>June</w:t>
      </w:r>
      <w:r w:rsidR="00D431B7" w:rsidRPr="77DA638A">
        <w:rPr>
          <w:rFonts w:ascii="Century Gothic" w:hAnsi="Century Gothic" w:cs="Calibri"/>
        </w:rPr>
        <w:t xml:space="preserve"> 1, 202</w:t>
      </w:r>
      <w:r w:rsidR="006817F9" w:rsidRPr="77DA638A">
        <w:rPr>
          <w:rFonts w:ascii="Century Gothic" w:hAnsi="Century Gothic" w:cs="Calibri"/>
        </w:rPr>
        <w:t>1</w:t>
      </w:r>
      <w:r w:rsidR="001F2387" w:rsidRPr="77DA638A">
        <w:rPr>
          <w:rFonts w:ascii="Century Gothic" w:hAnsi="Century Gothic" w:cs="Calibri"/>
        </w:rPr>
        <w:t>.</w:t>
      </w:r>
    </w:p>
    <w:p w14:paraId="4C56F1A3" w14:textId="77777777"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3E80D015" w14:textId="77777777"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6EBB959C" w14:textId="77777777"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All Requested </w:t>
      </w:r>
      <w:r w:rsidR="00194A88">
        <w:rPr>
          <w:rFonts w:ascii="Century Gothic" w:hAnsi="Century Gothic" w:cs="Calibri"/>
          <w:b/>
          <w:bCs/>
          <w:u w:val="single"/>
        </w:rPr>
        <w:t xml:space="preserve">Electric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Rate Changes Effective </w:t>
      </w:r>
      <w:r w:rsidR="002B5F83">
        <w:rPr>
          <w:rFonts w:ascii="Century Gothic" w:hAnsi="Century Gothic" w:cs="Calibri"/>
          <w:b/>
          <w:bCs/>
          <w:u w:val="single"/>
        </w:rPr>
        <w:t>June</w:t>
      </w:r>
      <w:r w:rsidR="00D654D1">
        <w:rPr>
          <w:rFonts w:ascii="Century Gothic" w:hAnsi="Century Gothic" w:cs="Calibri"/>
          <w:b/>
          <w:bCs/>
          <w:u w:val="single"/>
        </w:rPr>
        <w:t xml:space="preserve"> 1, 2021</w:t>
      </w:r>
      <w:r w:rsidR="002164F7" w:rsidRPr="00960036">
        <w:rPr>
          <w:rFonts w:ascii="Century Gothic" w:hAnsi="Century Gothic" w:cs="Calibri"/>
          <w:b/>
          <w:bCs/>
          <w:u w:val="single"/>
        </w:rPr>
        <w:t>:</w:t>
      </w:r>
    </w:p>
    <w:p w14:paraId="2D6775AA" w14:textId="77777777"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960036" w14:paraId="08B2B414" w14:textId="77777777" w:rsidTr="00D75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519B520" w14:textId="77777777"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9B612D">
              <w:rPr>
                <w:rFonts w:ascii="Century Gothic" w:hAnsi="Century Gothic" w:cs="Calibri"/>
              </w:rPr>
              <w:t xml:space="preserve">Residential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2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944" w:type="dxa"/>
          </w:tcPr>
          <w:p w14:paraId="76467991" w14:textId="77777777" w:rsidR="002164F7" w:rsidRPr="00960036" w:rsidRDefault="00E451FA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SC</w:t>
            </w:r>
            <w:r w:rsidR="00EA38F3">
              <w:rPr>
                <w:rFonts w:ascii="Century Gothic" w:hAnsi="Century Gothic" w:cs="Calibri"/>
              </w:rPr>
              <w:t>E</w:t>
            </w:r>
            <w:r w:rsidR="00EA38F3" w:rsidRPr="00960036">
              <w:rPr>
                <w:rFonts w:ascii="Century Gothic" w:hAnsi="Century Gothic" w:cs="Calibri"/>
              </w:rPr>
              <w:t xml:space="preserve"> </w:t>
            </w:r>
            <w:r w:rsidR="000327F4">
              <w:rPr>
                <w:rFonts w:ascii="Century Gothic" w:hAnsi="Century Gothic" w:cs="Calibri"/>
              </w:rPr>
              <w:t xml:space="preserve">as of </w:t>
            </w:r>
            <w:r w:rsidR="00EE5004">
              <w:rPr>
                <w:rFonts w:ascii="Century Gothic" w:hAnsi="Century Gothic" w:cs="Calibri"/>
              </w:rPr>
              <w:t>June</w:t>
            </w:r>
            <w:r w:rsidR="000327F4">
              <w:rPr>
                <w:rFonts w:ascii="Century Gothic" w:hAnsi="Century Gothic" w:cs="Calibri"/>
              </w:rPr>
              <w:t xml:space="preserve"> 1, 2021</w:t>
            </w:r>
          </w:p>
        </w:tc>
      </w:tr>
      <w:tr w:rsidR="002164F7" w:rsidRPr="00960036" w14:paraId="447D683E" w14:textId="77777777" w:rsidTr="00D75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AB3153E" w14:textId="77777777" w:rsidR="002164F7" w:rsidRPr="00960036" w:rsidRDefault="009B612D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>
              <w:rPr>
                <w:rFonts w:ascii="Century Gothic" w:hAnsi="Century Gothic" w:cs="Calibri"/>
                <w:b w:val="0"/>
                <w:bCs w:val="0"/>
              </w:rPr>
              <w:t xml:space="preserve">Average </w:t>
            </w:r>
            <w:r w:rsidR="00154274" w:rsidRPr="00960036">
              <w:rPr>
                <w:rFonts w:ascii="Century Gothic" w:hAnsi="Century Gothic" w:cs="Calibri"/>
                <w:b w:val="0"/>
                <w:bCs w:val="0"/>
              </w:rPr>
              <w:t>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98A7FF" w:themeFill="accent2" w:themeFillTint="40"/>
          </w:tcPr>
          <w:p w14:paraId="5342CB48" w14:textId="77777777"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EE5004">
              <w:rPr>
                <w:rFonts w:ascii="Century Gothic" w:hAnsi="Century Gothic" w:cs="Calibri"/>
              </w:rPr>
              <w:t>126.90</w:t>
            </w:r>
          </w:p>
        </w:tc>
      </w:tr>
      <w:tr w:rsidR="00863057" w:rsidRPr="00960036" w14:paraId="150250C7" w14:textId="77777777" w:rsidTr="00D75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1A14D942" w14:textId="77777777" w:rsidR="00863057" w:rsidRPr="00960036" w:rsidRDefault="00863057" w:rsidP="009B612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 xml:space="preserve">Average </w:t>
            </w:r>
            <w:r w:rsidR="009B612D">
              <w:rPr>
                <w:rFonts w:ascii="Century Gothic" w:hAnsi="Century Gothic" w:cs="Calibri"/>
                <w:b w:val="0"/>
                <w:bCs w:val="0"/>
              </w:rPr>
              <w:t>N</w:t>
            </w:r>
            <w:r w:rsidRPr="00960036">
              <w:rPr>
                <w:rFonts w:ascii="Century Gothic" w:hAnsi="Century Gothic" w:cs="Calibri"/>
                <w:b w:val="0"/>
                <w:bCs w:val="0"/>
              </w:rPr>
              <w:t>on-CARE electric bill increase</w:t>
            </w:r>
          </w:p>
        </w:tc>
        <w:tc>
          <w:tcPr>
            <w:tcW w:w="3944" w:type="dxa"/>
            <w:shd w:val="clear" w:color="auto" w:fill="D5DBFF" w:themeFill="accent2" w:themeFillTint="1A"/>
          </w:tcPr>
          <w:p w14:paraId="2CDF7E70" w14:textId="77777777" w:rsidR="00863057" w:rsidRPr="00960036" w:rsidRDefault="004E154E" w:rsidP="00EE500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EE5004">
              <w:rPr>
                <w:rFonts w:ascii="Century Gothic" w:hAnsi="Century Gothic" w:cs="Calibri"/>
              </w:rPr>
              <w:t>1.3</w:t>
            </w:r>
            <w:r w:rsidR="00304420">
              <w:rPr>
                <w:rFonts w:ascii="Century Gothic" w:hAnsi="Century Gothic" w:cs="Calibri"/>
              </w:rPr>
              <w:t>0</w:t>
            </w:r>
            <w:r>
              <w:rPr>
                <w:rFonts w:ascii="Century Gothic" w:hAnsi="Century Gothic" w:cs="Calibri"/>
              </w:rPr>
              <w:t xml:space="preserve"> (</w:t>
            </w:r>
            <w:r w:rsidR="00EE5004">
              <w:rPr>
                <w:rFonts w:ascii="Century Gothic" w:hAnsi="Century Gothic" w:cs="Calibri"/>
              </w:rPr>
              <w:t>1.04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14:paraId="06A86DF7" w14:textId="77777777" w:rsidTr="00D75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14E19DB7" w14:textId="77777777" w:rsidR="00863057" w:rsidRPr="00960036" w:rsidRDefault="00863057" w:rsidP="009B612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CARE electric bill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  <w:shd w:val="clear" w:color="auto" w:fill="98A7FF" w:themeFill="accent2" w:themeFillTint="40"/>
          </w:tcPr>
          <w:p w14:paraId="2E6C2A88" w14:textId="77777777"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EE5004">
              <w:rPr>
                <w:rFonts w:ascii="Century Gothic" w:hAnsi="Century Gothic" w:cs="Calibri"/>
              </w:rPr>
              <w:t>80.70</w:t>
            </w:r>
          </w:p>
        </w:tc>
      </w:tr>
      <w:tr w:rsidR="00863057" w:rsidRPr="00960036" w14:paraId="276DFC78" w14:textId="77777777" w:rsidTr="00D75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068F45F2" w14:textId="77777777" w:rsidR="00863057" w:rsidRPr="00960036" w:rsidRDefault="00863057" w:rsidP="009B612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CARE electric bill increase</w:t>
            </w:r>
          </w:p>
        </w:tc>
        <w:tc>
          <w:tcPr>
            <w:tcW w:w="3944" w:type="dxa"/>
            <w:tcBorders>
              <w:bottom w:val="nil"/>
            </w:tcBorders>
            <w:shd w:val="clear" w:color="auto" w:fill="D5DBFF" w:themeFill="accent2" w:themeFillTint="1A"/>
          </w:tcPr>
          <w:p w14:paraId="417B04A5" w14:textId="77777777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EE5004">
              <w:rPr>
                <w:rFonts w:ascii="Century Gothic" w:hAnsi="Century Gothic" w:cs="Calibri"/>
              </w:rPr>
              <w:t>0.8</w:t>
            </w:r>
            <w:r w:rsidR="00304420">
              <w:rPr>
                <w:rFonts w:ascii="Century Gothic" w:hAnsi="Century Gothic" w:cs="Calibri"/>
              </w:rPr>
              <w:t>0</w:t>
            </w:r>
            <w:r>
              <w:rPr>
                <w:rFonts w:ascii="Century Gothic" w:hAnsi="Century Gothic" w:cs="Calibri"/>
              </w:rPr>
              <w:t xml:space="preserve"> (</w:t>
            </w:r>
            <w:r w:rsidR="00EE5004">
              <w:rPr>
                <w:rFonts w:ascii="Century Gothic" w:hAnsi="Century Gothic" w:cs="Calibri"/>
              </w:rPr>
              <w:t>1.00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14:paraId="417B48DB" w14:textId="77777777"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14:paraId="31A6DB6B" w14:textId="21337EE5" w:rsidR="008D69F9" w:rsidRDefault="00C72375" w:rsidP="00CB4F96">
      <w:pPr>
        <w:ind w:firstLine="0"/>
        <w:rPr>
          <w:rFonts w:ascii="Century Gothic" w:hAnsi="Century Gothic" w:cs="Calibri"/>
        </w:rPr>
      </w:pPr>
      <w:r w:rsidRPr="77DA638A">
        <w:rPr>
          <w:rFonts w:ascii="Century Gothic" w:hAnsi="Century Gothic" w:cs="Calibri"/>
        </w:rPr>
        <w:t xml:space="preserve">Below are the </w:t>
      </w:r>
      <w:r w:rsidR="00895D9C" w:rsidRPr="77DA638A">
        <w:rPr>
          <w:rFonts w:ascii="Century Gothic" w:hAnsi="Century Gothic" w:cs="Calibri"/>
        </w:rPr>
        <w:t xml:space="preserve">main </w:t>
      </w:r>
      <w:r w:rsidRPr="77DA638A">
        <w:rPr>
          <w:rFonts w:ascii="Century Gothic" w:hAnsi="Century Gothic" w:cs="Calibri"/>
        </w:rPr>
        <w:t xml:space="preserve">drivers of SCE’s </w:t>
      </w:r>
      <w:r w:rsidR="002B5F83" w:rsidRPr="77DA638A">
        <w:rPr>
          <w:rFonts w:ascii="Century Gothic" w:hAnsi="Century Gothic" w:cs="Calibri"/>
        </w:rPr>
        <w:t>June</w:t>
      </w:r>
      <w:r w:rsidRPr="77DA638A">
        <w:rPr>
          <w:rFonts w:ascii="Century Gothic" w:hAnsi="Century Gothic" w:cs="Calibri"/>
        </w:rPr>
        <w:t xml:space="preserve"> 1, 2021 electric rate change</w:t>
      </w:r>
      <w:r w:rsidR="25BB4B32" w:rsidRPr="77DA638A">
        <w:rPr>
          <w:rFonts w:ascii="Century Gothic" w:hAnsi="Century Gothic" w:cs="Calibri"/>
        </w:rPr>
        <w:t xml:space="preserve"> due </w:t>
      </w:r>
      <w:proofErr w:type="gramStart"/>
      <w:r w:rsidR="25BB4B32" w:rsidRPr="77DA638A">
        <w:rPr>
          <w:rFonts w:ascii="Century Gothic" w:hAnsi="Century Gothic" w:cs="Calibri"/>
        </w:rPr>
        <w:t xml:space="preserve">to </w:t>
      </w:r>
      <w:r w:rsidR="007A1E31" w:rsidRPr="77DA638A">
        <w:rPr>
          <w:rFonts w:ascii="Century Gothic" w:hAnsi="Century Gothic" w:cs="Calibri"/>
        </w:rPr>
        <w:t xml:space="preserve"> </w:t>
      </w:r>
      <w:r w:rsidR="00365F78" w:rsidRPr="77DA638A">
        <w:rPr>
          <w:rFonts w:ascii="Century Gothic" w:hAnsi="Century Gothic" w:cs="Calibri"/>
        </w:rPr>
        <w:t>a</w:t>
      </w:r>
      <w:proofErr w:type="gramEnd"/>
      <w:r w:rsidR="00365F78" w:rsidRPr="77DA638A">
        <w:rPr>
          <w:rFonts w:ascii="Century Gothic" w:hAnsi="Century Gothic" w:cs="Calibri"/>
        </w:rPr>
        <w:t xml:space="preserve"> total</w:t>
      </w:r>
      <w:r w:rsidRPr="77DA638A">
        <w:rPr>
          <w:rFonts w:ascii="Century Gothic" w:hAnsi="Century Gothic" w:cs="Calibri"/>
        </w:rPr>
        <w:t xml:space="preserve"> increase of $</w:t>
      </w:r>
      <w:r w:rsidR="00CB0735" w:rsidRPr="77DA638A">
        <w:rPr>
          <w:rFonts w:ascii="Century Gothic" w:hAnsi="Century Gothic" w:cs="Calibri"/>
        </w:rPr>
        <w:t>115.885</w:t>
      </w:r>
      <w:r w:rsidRPr="77DA638A">
        <w:rPr>
          <w:rFonts w:ascii="Century Gothic" w:hAnsi="Century Gothic" w:cs="Calibri"/>
        </w:rPr>
        <w:t xml:space="preserve"> million </w:t>
      </w:r>
      <w:r w:rsidR="5D8F1CCA" w:rsidRPr="77DA638A">
        <w:rPr>
          <w:rFonts w:ascii="Century Gothic" w:hAnsi="Century Gothic" w:cs="Calibri"/>
        </w:rPr>
        <w:t xml:space="preserve">in revenue needed to fund </w:t>
      </w:r>
      <w:r w:rsidRPr="77DA638A">
        <w:rPr>
          <w:rFonts w:ascii="Century Gothic" w:hAnsi="Century Gothic" w:cs="Calibri"/>
        </w:rPr>
        <w:t xml:space="preserve"> its electric utility op</w:t>
      </w:r>
      <w:r w:rsidR="008D69F9" w:rsidRPr="77DA638A">
        <w:rPr>
          <w:rFonts w:ascii="Century Gothic" w:hAnsi="Century Gothic" w:cs="Calibri"/>
        </w:rPr>
        <w:t>erations</w:t>
      </w:r>
      <w:r w:rsidR="00365F78" w:rsidRPr="77DA638A">
        <w:rPr>
          <w:rFonts w:ascii="Century Gothic" w:hAnsi="Century Gothic" w:cs="Calibri"/>
        </w:rPr>
        <w:t xml:space="preserve"> and various programs</w:t>
      </w:r>
      <w:r w:rsidR="00025477" w:rsidRPr="77DA638A">
        <w:rPr>
          <w:rFonts w:ascii="Century Gothic" w:hAnsi="Century Gothic" w:cs="Calibri"/>
        </w:rPr>
        <w:t>.</w:t>
      </w:r>
      <w:r w:rsidR="00CC6936" w:rsidRPr="77DA638A">
        <w:rPr>
          <w:rFonts w:ascii="Century Gothic" w:hAnsi="Century Gothic" w:cs="Calibri"/>
        </w:rPr>
        <w:t xml:space="preserve"> </w:t>
      </w:r>
      <w:r w:rsidR="008D69F9" w:rsidRPr="77DA638A">
        <w:rPr>
          <w:rFonts w:ascii="Century Gothic" w:hAnsi="Century Gothic" w:cs="Calibri"/>
        </w:rPr>
        <w:t xml:space="preserve">Dollar amounts shown below represent the increase </w:t>
      </w:r>
      <w:r w:rsidR="00DC65AD" w:rsidRPr="77DA638A">
        <w:rPr>
          <w:rFonts w:ascii="Century Gothic" w:hAnsi="Century Gothic" w:cs="Calibri"/>
          <w:lang w:eastAsia="zh-TW"/>
        </w:rPr>
        <w:t xml:space="preserve">(total $234.907 million) </w:t>
      </w:r>
      <w:r w:rsidR="00DC65AD" w:rsidRPr="77DA638A">
        <w:rPr>
          <w:rFonts w:ascii="Century Gothic" w:hAnsi="Century Gothic" w:cs="Calibri"/>
        </w:rPr>
        <w:t>and</w:t>
      </w:r>
      <w:r w:rsidR="008D69F9" w:rsidRPr="77DA638A">
        <w:rPr>
          <w:rFonts w:ascii="Century Gothic" w:hAnsi="Century Gothic" w:cs="Calibri"/>
        </w:rPr>
        <w:t xml:space="preserve"> decrease </w:t>
      </w:r>
      <w:r w:rsidR="00DC65AD" w:rsidRPr="77DA638A">
        <w:rPr>
          <w:rFonts w:ascii="Century Gothic" w:hAnsi="Century Gothic" w:cs="Calibri"/>
        </w:rPr>
        <w:t xml:space="preserve">(total 119.021 million) </w:t>
      </w:r>
      <w:r w:rsidR="008D69F9" w:rsidRPr="77DA638A">
        <w:rPr>
          <w:rFonts w:ascii="Century Gothic" w:hAnsi="Century Gothic" w:cs="Calibri"/>
        </w:rPr>
        <w:t xml:space="preserve">in revenue collected from customers compared to the authorized </w:t>
      </w:r>
      <w:r w:rsidR="007A1E31" w:rsidRPr="77DA638A">
        <w:rPr>
          <w:rFonts w:ascii="Century Gothic" w:hAnsi="Century Gothic" w:cs="Calibri"/>
        </w:rPr>
        <w:t xml:space="preserve">February 1, 2021 </w:t>
      </w:r>
      <w:r w:rsidR="008D69F9" w:rsidRPr="77DA638A">
        <w:rPr>
          <w:rFonts w:ascii="Century Gothic" w:hAnsi="Century Gothic" w:cs="Calibri"/>
        </w:rPr>
        <w:t>revenue requirement</w:t>
      </w:r>
      <w:r w:rsidR="00895D9C" w:rsidRPr="77DA638A">
        <w:rPr>
          <w:rFonts w:ascii="Century Gothic" w:hAnsi="Century Gothic" w:cs="Calibri"/>
        </w:rPr>
        <w:t>;</w:t>
      </w:r>
      <w:r w:rsidR="008D69F9" w:rsidRPr="77DA638A">
        <w:rPr>
          <w:rFonts w:ascii="Century Gothic" w:hAnsi="Century Gothic" w:cs="Calibri"/>
        </w:rPr>
        <w:t xml:space="preserve"> </w:t>
      </w:r>
      <w:r w:rsidR="008D69F9" w:rsidRPr="77DA638A">
        <w:rPr>
          <w:rFonts w:ascii="Century Gothic" w:hAnsi="Century Gothic" w:cs="Calibri"/>
          <w:b/>
          <w:bCs/>
          <w:i/>
          <w:iCs/>
          <w:color w:val="FF0000"/>
        </w:rPr>
        <w:t>not</w:t>
      </w:r>
      <w:r w:rsidR="008D69F9" w:rsidRPr="77DA638A">
        <w:rPr>
          <w:rFonts w:ascii="Century Gothic" w:hAnsi="Century Gothic" w:cs="Calibri"/>
          <w:b/>
          <w:bCs/>
          <w:i/>
          <w:iCs/>
        </w:rPr>
        <w:t xml:space="preserve"> </w:t>
      </w:r>
      <w:r w:rsidR="008D69F9" w:rsidRPr="77DA638A">
        <w:rPr>
          <w:rFonts w:ascii="Century Gothic" w:hAnsi="Century Gothic" w:cs="Calibri"/>
        </w:rPr>
        <w:t>total program costs</w:t>
      </w:r>
      <w:r w:rsidR="617C3EC3" w:rsidRPr="77DA638A">
        <w:rPr>
          <w:rFonts w:ascii="Century Gothic" w:hAnsi="Century Gothic" w:cs="Calibri"/>
        </w:rPr>
        <w:t xml:space="preserve"> for each category</w:t>
      </w:r>
      <w:r w:rsidR="008D69F9" w:rsidRPr="77DA638A">
        <w:rPr>
          <w:rFonts w:ascii="Century Gothic" w:hAnsi="Century Gothic" w:cs="Calibri"/>
        </w:rPr>
        <w:t>.</w:t>
      </w:r>
    </w:p>
    <w:p w14:paraId="693C53E3" w14:textId="77777777" w:rsidR="00365F78" w:rsidRDefault="00365F78" w:rsidP="005D43BE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</w:p>
    <w:p w14:paraId="4A6B1843" w14:textId="79C4E79A" w:rsidR="00365F78" w:rsidRDefault="00365F78" w:rsidP="005D43BE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>
        <w:rPr>
          <w:rFonts w:ascii="Century Gothic" w:hAnsi="Century Gothic" w:cs="Calibri"/>
          <w:b/>
          <w:bCs/>
          <w:u w:val="single"/>
        </w:rPr>
        <w:t xml:space="preserve">Change in </w:t>
      </w:r>
      <w:r w:rsidR="005D43BE" w:rsidRPr="005D43BE">
        <w:rPr>
          <w:rFonts w:ascii="Century Gothic" w:hAnsi="Century Gothic" w:cs="Calibri"/>
          <w:b/>
          <w:bCs/>
          <w:u w:val="single"/>
        </w:rPr>
        <w:t xml:space="preserve">Consolidated Revenue Requirements </w:t>
      </w:r>
      <w:r w:rsidR="00DE25E0" w:rsidRPr="005D43BE">
        <w:rPr>
          <w:rFonts w:ascii="Century Gothic" w:hAnsi="Century Gothic" w:cs="Calibri"/>
          <w:b/>
          <w:bCs/>
          <w:u w:val="single"/>
        </w:rPr>
        <w:t>(</w:t>
      </w:r>
      <w:r w:rsidR="00DE25E0">
        <w:rPr>
          <w:rFonts w:ascii="Century Gothic" w:hAnsi="Century Gothic" w:cs="Calibri"/>
          <w:b/>
          <w:bCs/>
          <w:u w:val="single"/>
        </w:rPr>
        <w:t xml:space="preserve">in </w:t>
      </w:r>
      <w:r w:rsidR="00DE25E0" w:rsidRPr="005D43BE">
        <w:rPr>
          <w:rFonts w:ascii="Century Gothic" w:hAnsi="Century Gothic" w:cs="Calibri"/>
          <w:b/>
          <w:bCs/>
          <w:u w:val="single"/>
        </w:rPr>
        <w:t xml:space="preserve">$000) </w:t>
      </w:r>
      <w:r w:rsidR="005D43BE" w:rsidRPr="005D43BE">
        <w:rPr>
          <w:rFonts w:ascii="Century Gothic" w:hAnsi="Century Gothic" w:cs="Calibri"/>
          <w:b/>
          <w:bCs/>
          <w:u w:val="single"/>
        </w:rPr>
        <w:t xml:space="preserve">by Proceeding </w:t>
      </w:r>
    </w:p>
    <w:p w14:paraId="098E924B" w14:textId="77777777" w:rsidR="005D43BE" w:rsidRPr="005D43BE" w:rsidRDefault="00365F78" w:rsidP="005D43BE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>
        <w:rPr>
          <w:rFonts w:ascii="Century Gothic" w:hAnsi="Century Gothic" w:cs="Calibri"/>
          <w:b/>
          <w:bCs/>
          <w:u w:val="single"/>
        </w:rPr>
        <w:t xml:space="preserve">as of </w:t>
      </w:r>
      <w:r w:rsidR="005D43BE" w:rsidRPr="005D43BE">
        <w:rPr>
          <w:rFonts w:ascii="Century Gothic" w:hAnsi="Century Gothic" w:cs="Calibri"/>
          <w:b/>
          <w:bCs/>
          <w:u w:val="single"/>
        </w:rPr>
        <w:t>June 1, 2021</w:t>
      </w:r>
      <w:r>
        <w:rPr>
          <w:rFonts w:ascii="Century Gothic" w:hAnsi="Century Gothic" w:cs="Calibri"/>
          <w:b/>
          <w:bCs/>
          <w:u w:val="single"/>
        </w:rPr>
        <w:t>, Compared to Requirements as of February 1, 2021</w:t>
      </w:r>
    </w:p>
    <w:p w14:paraId="3D8EF374" w14:textId="77777777" w:rsidR="005D43BE" w:rsidRDefault="005D43BE" w:rsidP="00CB4F96">
      <w:pPr>
        <w:ind w:firstLine="0"/>
        <w:rPr>
          <w:rFonts w:ascii="Century Gothic" w:hAnsi="Century Gothic" w:cs="Calibri"/>
        </w:rPr>
      </w:pPr>
    </w:p>
    <w:tbl>
      <w:tblPr>
        <w:tblStyle w:val="GridTable5Dark-Accent22"/>
        <w:tblW w:w="11065" w:type="dxa"/>
        <w:tblLayout w:type="fixed"/>
        <w:tblLook w:val="04A0" w:firstRow="1" w:lastRow="0" w:firstColumn="1" w:lastColumn="0" w:noHBand="0" w:noVBand="1"/>
      </w:tblPr>
      <w:tblGrid>
        <w:gridCol w:w="2855"/>
        <w:gridCol w:w="1074"/>
        <w:gridCol w:w="627"/>
        <w:gridCol w:w="3396"/>
        <w:gridCol w:w="1110"/>
        <w:gridCol w:w="858"/>
        <w:gridCol w:w="1145"/>
      </w:tblGrid>
      <w:tr w:rsidR="0034360A" w:rsidRPr="00365F78" w14:paraId="719DD3F0" w14:textId="77777777" w:rsidTr="00FF3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gridSpan w:val="3"/>
            <w:tcBorders>
              <w:right w:val="single" w:sz="4" w:space="0" w:color="FFFFFF" w:themeColor="background1"/>
            </w:tcBorders>
          </w:tcPr>
          <w:p w14:paraId="301E896D" w14:textId="77777777" w:rsidR="0034360A" w:rsidRPr="00D75B31" w:rsidRDefault="0034360A" w:rsidP="00365F78">
            <w:pPr>
              <w:ind w:firstLine="0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D75B31">
              <w:rPr>
                <w:rFonts w:ascii="Century Gothic" w:hAnsi="Century Gothic" w:cs="Calibri"/>
                <w:sz w:val="22"/>
                <w:szCs w:val="22"/>
              </w:rPr>
              <w:t xml:space="preserve">Increases </w:t>
            </w:r>
            <w:r w:rsidRPr="00D75B31">
              <w:rPr>
                <w:rFonts w:ascii="Century Gothic" w:hAnsi="Century Gothic" w:cs="Calibri"/>
                <w:b w:val="0"/>
                <w:sz w:val="22"/>
                <w:szCs w:val="22"/>
              </w:rPr>
              <w:t>in Revenue Requirement</w:t>
            </w:r>
            <w:r w:rsidR="009B612D">
              <w:rPr>
                <w:rFonts w:ascii="Century Gothic" w:hAnsi="Century Gothic" w:cs="Calibri"/>
                <w:b w:val="0"/>
                <w:sz w:val="22"/>
                <w:szCs w:val="22"/>
              </w:rPr>
              <w:t>s</w:t>
            </w:r>
          </w:p>
        </w:tc>
        <w:tc>
          <w:tcPr>
            <w:tcW w:w="536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8ADDBC" w14:textId="77777777" w:rsidR="0034360A" w:rsidRPr="00D75B31" w:rsidRDefault="0034360A" w:rsidP="00365F7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2"/>
                <w:szCs w:val="22"/>
              </w:rPr>
            </w:pPr>
            <w:r w:rsidRPr="00D75B31">
              <w:rPr>
                <w:rFonts w:ascii="Century Gothic" w:hAnsi="Century Gothic" w:cs="Calibri"/>
                <w:sz w:val="22"/>
                <w:szCs w:val="22"/>
              </w:rPr>
              <w:t xml:space="preserve">Decreases </w:t>
            </w:r>
            <w:r w:rsidRPr="00D75B31">
              <w:rPr>
                <w:rFonts w:ascii="Century Gothic" w:hAnsi="Century Gothic" w:cs="Calibri"/>
                <w:b w:val="0"/>
                <w:sz w:val="22"/>
                <w:szCs w:val="22"/>
              </w:rPr>
              <w:t>in Revenue Requirement</w:t>
            </w:r>
            <w:r w:rsidR="009B612D">
              <w:rPr>
                <w:rFonts w:ascii="Century Gothic" w:hAnsi="Century Gothic" w:cs="Calibri"/>
                <w:b w:val="0"/>
                <w:sz w:val="22"/>
                <w:szCs w:val="22"/>
              </w:rPr>
              <w:t>s</w:t>
            </w:r>
          </w:p>
        </w:tc>
        <w:tc>
          <w:tcPr>
            <w:tcW w:w="1145" w:type="dxa"/>
            <w:tcBorders>
              <w:left w:val="single" w:sz="4" w:space="0" w:color="FFFFFF" w:themeColor="background1"/>
            </w:tcBorders>
          </w:tcPr>
          <w:p w14:paraId="5069458B" w14:textId="77777777" w:rsidR="0034360A" w:rsidRPr="00D75B31" w:rsidRDefault="0034360A" w:rsidP="0034360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2"/>
                <w:szCs w:val="22"/>
              </w:rPr>
            </w:pPr>
            <w:r w:rsidRPr="00D75B31">
              <w:rPr>
                <w:rFonts w:ascii="Century Gothic" w:hAnsi="Century Gothic" w:cs="Calibri"/>
                <w:sz w:val="22"/>
                <w:szCs w:val="22"/>
              </w:rPr>
              <w:t xml:space="preserve">Total </w:t>
            </w:r>
          </w:p>
        </w:tc>
      </w:tr>
      <w:tr w:rsidR="0034360A" w:rsidRPr="00365F78" w14:paraId="11764412" w14:textId="77777777" w:rsidTr="00FF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ED89459" w14:textId="77777777" w:rsidR="0034360A" w:rsidRPr="00D75B31" w:rsidRDefault="0034360A" w:rsidP="0034360A">
            <w:pPr>
              <w:spacing w:line="0" w:lineRule="atLeast"/>
              <w:ind w:firstLine="0"/>
              <w:rPr>
                <w:rFonts w:ascii="Century Gothic" w:hAnsi="Century Gothic" w:cs="Calibri"/>
                <w:b w:val="0"/>
                <w:sz w:val="20"/>
                <w:szCs w:val="20"/>
              </w:rPr>
            </w:pPr>
            <w:proofErr w:type="spellStart"/>
            <w:r w:rsidRPr="00D75B31">
              <w:rPr>
                <w:rFonts w:ascii="Century Gothic" w:hAnsi="Century Gothic" w:cs="Calibri"/>
                <w:b w:val="0"/>
                <w:sz w:val="20"/>
                <w:szCs w:val="20"/>
              </w:rPr>
              <w:t>Mobilehome</w:t>
            </w:r>
            <w:proofErr w:type="spellEnd"/>
            <w:r w:rsidRPr="00D75B31">
              <w:rPr>
                <w:rFonts w:ascii="Century Gothic" w:hAnsi="Century Gothic" w:cs="Calibri"/>
                <w:b w:val="0"/>
                <w:sz w:val="20"/>
                <w:szCs w:val="20"/>
              </w:rPr>
              <w:t xml:space="preserve"> Park Master Meter Balancing Account</w:t>
            </w:r>
          </w:p>
        </w:tc>
        <w:tc>
          <w:tcPr>
            <w:tcW w:w="1074" w:type="dxa"/>
            <w:shd w:val="clear" w:color="auto" w:fill="98A7FF" w:themeFill="accent2" w:themeFillTint="40"/>
          </w:tcPr>
          <w:p w14:paraId="65C00567" w14:textId="77777777" w:rsidR="0034360A" w:rsidRPr="00365F78" w:rsidRDefault="001B336F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$</w:t>
            </w:r>
            <w:r w:rsidR="0034360A" w:rsidRPr="00365F78">
              <w:rPr>
                <w:rFonts w:ascii="Century Gothic" w:hAnsi="Century Gothic" w:cs="Calibri"/>
                <w:sz w:val="20"/>
                <w:szCs w:val="20"/>
              </w:rPr>
              <w:t>25,926</w:t>
            </w:r>
          </w:p>
        </w:tc>
        <w:tc>
          <w:tcPr>
            <w:tcW w:w="627" w:type="dxa"/>
            <w:shd w:val="clear" w:color="auto" w:fill="98A7FF" w:themeFill="accent2" w:themeFillTint="40"/>
          </w:tcPr>
          <w:p w14:paraId="129C2FEA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365F78">
              <w:rPr>
                <w:rFonts w:ascii="Century Gothic" w:hAnsi="Century Gothic" w:cs="Calibri"/>
                <w:sz w:val="20"/>
                <w:szCs w:val="20"/>
              </w:rPr>
              <w:t>11%</w:t>
            </w:r>
          </w:p>
        </w:tc>
        <w:tc>
          <w:tcPr>
            <w:tcW w:w="3396" w:type="dxa"/>
            <w:shd w:val="clear" w:color="auto" w:fill="000F64" w:themeFill="accent2"/>
          </w:tcPr>
          <w:p w14:paraId="0CE6E247" w14:textId="77777777" w:rsidR="0034360A" w:rsidRPr="00D75B31" w:rsidRDefault="0034360A" w:rsidP="0034360A">
            <w:pPr>
              <w:spacing w:line="0" w:lineRule="atLeas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D75B31">
              <w:rPr>
                <w:rFonts w:ascii="Century Gothic" w:hAnsi="Century Gothic" w:cs="Calibri"/>
                <w:sz w:val="20"/>
                <w:szCs w:val="20"/>
              </w:rPr>
              <w:t xml:space="preserve">2021 GRC </w:t>
            </w:r>
            <w:r w:rsidR="00E77F81">
              <w:rPr>
                <w:rFonts w:ascii="Century Gothic" w:hAnsi="Century Gothic" w:cs="Calibri"/>
                <w:sz w:val="20"/>
                <w:szCs w:val="20"/>
              </w:rPr>
              <w:t xml:space="preserve">Phase 1, </w:t>
            </w:r>
            <w:r w:rsidRPr="00D75B31">
              <w:rPr>
                <w:rFonts w:ascii="Century Gothic" w:hAnsi="Century Gothic" w:cs="Calibri"/>
                <w:sz w:val="20"/>
                <w:szCs w:val="20"/>
              </w:rPr>
              <w:t>Track 2</w:t>
            </w:r>
          </w:p>
        </w:tc>
        <w:tc>
          <w:tcPr>
            <w:tcW w:w="1110" w:type="dxa"/>
            <w:shd w:val="clear" w:color="auto" w:fill="98A7FF" w:themeFill="accent2" w:themeFillTint="40"/>
          </w:tcPr>
          <w:p w14:paraId="10836F19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365F78">
              <w:rPr>
                <w:rFonts w:ascii="Century Gothic" w:hAnsi="Century Gothic" w:cs="Calibri"/>
                <w:sz w:val="20"/>
                <w:szCs w:val="20"/>
              </w:rPr>
              <w:t>(</w:t>
            </w:r>
            <w:r w:rsidR="001B336F">
              <w:rPr>
                <w:rFonts w:ascii="Century Gothic" w:hAnsi="Century Gothic" w:cs="Calibri"/>
                <w:sz w:val="20"/>
                <w:szCs w:val="20"/>
              </w:rPr>
              <w:t>$</w:t>
            </w:r>
            <w:r w:rsidRPr="00365F78">
              <w:rPr>
                <w:rFonts w:ascii="Century Gothic" w:hAnsi="Century Gothic" w:cs="Calibri"/>
                <w:sz w:val="20"/>
                <w:szCs w:val="20"/>
              </w:rPr>
              <w:t>9,700)</w:t>
            </w:r>
          </w:p>
        </w:tc>
        <w:tc>
          <w:tcPr>
            <w:tcW w:w="858" w:type="dxa"/>
            <w:shd w:val="clear" w:color="auto" w:fill="98A7FF" w:themeFill="accent2" w:themeFillTint="40"/>
          </w:tcPr>
          <w:p w14:paraId="1D49D97E" w14:textId="77777777" w:rsidR="0034360A" w:rsidRPr="00365F78" w:rsidRDefault="00F73E29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-</w:t>
            </w:r>
            <w:r w:rsidR="0034360A" w:rsidRPr="00365F78">
              <w:rPr>
                <w:rFonts w:ascii="Century Gothic" w:hAnsi="Century Gothic" w:cs="Calibri"/>
                <w:sz w:val="20"/>
                <w:szCs w:val="20"/>
              </w:rPr>
              <w:t>8%</w:t>
            </w:r>
          </w:p>
        </w:tc>
        <w:tc>
          <w:tcPr>
            <w:tcW w:w="1145" w:type="dxa"/>
            <w:shd w:val="clear" w:color="auto" w:fill="98A7FF" w:themeFill="accent2" w:themeFillTint="40"/>
          </w:tcPr>
          <w:p w14:paraId="35296E39" w14:textId="77777777" w:rsidR="0034360A" w:rsidRPr="00365F78" w:rsidRDefault="0034360A" w:rsidP="0034360A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4360A" w:rsidRPr="00365F78" w14:paraId="1602D40B" w14:textId="77777777" w:rsidTr="00FF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11E2555" w14:textId="77777777" w:rsidR="0034360A" w:rsidRPr="00D75B31" w:rsidRDefault="0034360A" w:rsidP="0034360A">
            <w:pPr>
              <w:spacing w:line="0" w:lineRule="atLeast"/>
              <w:ind w:firstLine="0"/>
              <w:rPr>
                <w:rFonts w:ascii="Century Gothic" w:hAnsi="Century Gothic" w:cs="Calibri"/>
                <w:b w:val="0"/>
                <w:sz w:val="20"/>
                <w:szCs w:val="20"/>
              </w:rPr>
            </w:pPr>
            <w:r w:rsidRPr="00D75B31">
              <w:rPr>
                <w:rFonts w:ascii="Century Gothic" w:hAnsi="Century Gothic" w:cs="Calibri"/>
                <w:b w:val="0"/>
                <w:sz w:val="20"/>
                <w:szCs w:val="20"/>
              </w:rPr>
              <w:t>Summer Reliability OIR</w:t>
            </w:r>
          </w:p>
        </w:tc>
        <w:tc>
          <w:tcPr>
            <w:tcW w:w="1074" w:type="dxa"/>
            <w:shd w:val="clear" w:color="auto" w:fill="D5DBFF" w:themeFill="accent2" w:themeFillTint="1A"/>
          </w:tcPr>
          <w:p w14:paraId="7C8AE998" w14:textId="77777777" w:rsidR="0034360A" w:rsidRPr="00365F78" w:rsidRDefault="001B336F" w:rsidP="0034360A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$</w:t>
            </w:r>
            <w:r w:rsidR="0034360A" w:rsidRPr="00365F78">
              <w:rPr>
                <w:rFonts w:ascii="Century Gothic" w:hAnsi="Century Gothic" w:cs="Calibri"/>
                <w:sz w:val="20"/>
                <w:szCs w:val="20"/>
              </w:rPr>
              <w:t>12,330</w:t>
            </w:r>
          </w:p>
        </w:tc>
        <w:tc>
          <w:tcPr>
            <w:tcW w:w="627" w:type="dxa"/>
            <w:shd w:val="clear" w:color="auto" w:fill="D5DBFF" w:themeFill="accent2" w:themeFillTint="1A"/>
          </w:tcPr>
          <w:p w14:paraId="78306381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365F78">
              <w:rPr>
                <w:rFonts w:ascii="Century Gothic" w:hAnsi="Century Gothic" w:cs="Calibri"/>
                <w:sz w:val="20"/>
                <w:szCs w:val="20"/>
              </w:rPr>
              <w:t>5%</w:t>
            </w:r>
          </w:p>
        </w:tc>
        <w:tc>
          <w:tcPr>
            <w:tcW w:w="3396" w:type="dxa"/>
            <w:shd w:val="clear" w:color="auto" w:fill="000F64" w:themeFill="accent2"/>
          </w:tcPr>
          <w:p w14:paraId="736637D5" w14:textId="77777777" w:rsidR="0034360A" w:rsidRPr="00D75B31" w:rsidRDefault="0034360A" w:rsidP="0034360A">
            <w:pPr>
              <w:spacing w:line="0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D75B31">
              <w:rPr>
                <w:rFonts w:ascii="Century Gothic" w:hAnsi="Century Gothic" w:cs="Calibri"/>
                <w:sz w:val="20"/>
                <w:szCs w:val="20"/>
              </w:rPr>
              <w:t>Safety and Reliability Investment Incentive Mechanism</w:t>
            </w:r>
          </w:p>
        </w:tc>
        <w:tc>
          <w:tcPr>
            <w:tcW w:w="1110" w:type="dxa"/>
            <w:shd w:val="clear" w:color="auto" w:fill="D5DBFF" w:themeFill="accent2" w:themeFillTint="1A"/>
          </w:tcPr>
          <w:p w14:paraId="3378DCD7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365F78">
              <w:rPr>
                <w:rFonts w:ascii="Century Gothic" w:hAnsi="Century Gothic" w:cs="Calibri"/>
                <w:sz w:val="20"/>
                <w:szCs w:val="20"/>
              </w:rPr>
              <w:t>(</w:t>
            </w:r>
            <w:r w:rsidR="001B336F">
              <w:rPr>
                <w:rFonts w:ascii="Century Gothic" w:hAnsi="Century Gothic" w:cs="Calibri"/>
                <w:sz w:val="20"/>
                <w:szCs w:val="20"/>
              </w:rPr>
              <w:t>$</w:t>
            </w:r>
            <w:r w:rsidRPr="00365F78">
              <w:rPr>
                <w:rFonts w:ascii="Century Gothic" w:hAnsi="Century Gothic" w:cs="Calibri"/>
                <w:sz w:val="20"/>
                <w:szCs w:val="20"/>
              </w:rPr>
              <w:t>21,627)</w:t>
            </w:r>
          </w:p>
        </w:tc>
        <w:tc>
          <w:tcPr>
            <w:tcW w:w="858" w:type="dxa"/>
            <w:shd w:val="clear" w:color="auto" w:fill="D5DBFF" w:themeFill="accent2" w:themeFillTint="1A"/>
          </w:tcPr>
          <w:p w14:paraId="3EBD04B0" w14:textId="77777777" w:rsidR="0034360A" w:rsidRPr="00365F78" w:rsidRDefault="00F73E29" w:rsidP="0034360A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-</w:t>
            </w:r>
            <w:r w:rsidR="0034360A" w:rsidRPr="00365F78">
              <w:rPr>
                <w:rFonts w:ascii="Century Gothic" w:hAnsi="Century Gothic" w:cs="Calibri"/>
                <w:sz w:val="20"/>
                <w:szCs w:val="20"/>
              </w:rPr>
              <w:t>18%</w:t>
            </w:r>
          </w:p>
        </w:tc>
        <w:tc>
          <w:tcPr>
            <w:tcW w:w="1145" w:type="dxa"/>
            <w:shd w:val="clear" w:color="auto" w:fill="D5DBFF" w:themeFill="accent2" w:themeFillTint="1A"/>
          </w:tcPr>
          <w:p w14:paraId="7469B2F2" w14:textId="77777777" w:rsidR="0034360A" w:rsidRPr="00365F78" w:rsidRDefault="0034360A" w:rsidP="0034360A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4360A" w:rsidRPr="00365F78" w14:paraId="5606E04F" w14:textId="77777777" w:rsidTr="00FF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58D73A8" w14:textId="77777777" w:rsidR="0034360A" w:rsidRPr="00D75B31" w:rsidRDefault="0034360A" w:rsidP="0034360A">
            <w:pPr>
              <w:spacing w:line="0" w:lineRule="atLeast"/>
              <w:ind w:firstLine="0"/>
              <w:rPr>
                <w:rFonts w:ascii="Century Gothic" w:hAnsi="Century Gothic" w:cs="Calibri"/>
                <w:b w:val="0"/>
                <w:sz w:val="20"/>
                <w:szCs w:val="20"/>
              </w:rPr>
            </w:pPr>
            <w:r w:rsidRPr="00D75B31">
              <w:rPr>
                <w:rFonts w:ascii="Century Gothic" w:hAnsi="Century Gothic" w:cs="Calibri"/>
                <w:b w:val="0"/>
                <w:sz w:val="20"/>
                <w:szCs w:val="20"/>
              </w:rPr>
              <w:t>Energy Efficiency Program</w:t>
            </w:r>
          </w:p>
        </w:tc>
        <w:tc>
          <w:tcPr>
            <w:tcW w:w="1074" w:type="dxa"/>
            <w:shd w:val="clear" w:color="auto" w:fill="98A7FF" w:themeFill="accent2" w:themeFillTint="40"/>
          </w:tcPr>
          <w:p w14:paraId="1E9A965A" w14:textId="77777777" w:rsidR="0034360A" w:rsidRPr="00365F78" w:rsidRDefault="001B336F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$</w:t>
            </w:r>
            <w:r w:rsidR="0034360A" w:rsidRPr="00365F78">
              <w:rPr>
                <w:rFonts w:ascii="Century Gothic" w:hAnsi="Century Gothic" w:cs="Calibri"/>
                <w:sz w:val="20"/>
                <w:szCs w:val="20"/>
              </w:rPr>
              <w:t>76,617</w:t>
            </w:r>
          </w:p>
        </w:tc>
        <w:tc>
          <w:tcPr>
            <w:tcW w:w="627" w:type="dxa"/>
            <w:shd w:val="clear" w:color="auto" w:fill="98A7FF" w:themeFill="accent2" w:themeFillTint="40"/>
          </w:tcPr>
          <w:p w14:paraId="2B86B584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365F78">
              <w:rPr>
                <w:rFonts w:ascii="Century Gothic" w:hAnsi="Century Gothic" w:cs="Calibri"/>
                <w:sz w:val="20"/>
                <w:szCs w:val="20"/>
              </w:rPr>
              <w:t>43%</w:t>
            </w:r>
          </w:p>
        </w:tc>
        <w:tc>
          <w:tcPr>
            <w:tcW w:w="3396" w:type="dxa"/>
            <w:shd w:val="clear" w:color="auto" w:fill="000F64" w:themeFill="accent2"/>
          </w:tcPr>
          <w:p w14:paraId="69EE52FB" w14:textId="77777777" w:rsidR="0034360A" w:rsidRPr="00D75B31" w:rsidRDefault="0034360A" w:rsidP="0034360A">
            <w:pPr>
              <w:spacing w:line="0" w:lineRule="atLeas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D75B31">
              <w:rPr>
                <w:rFonts w:ascii="Century Gothic" w:hAnsi="Century Gothic" w:cs="Calibri"/>
                <w:sz w:val="20"/>
                <w:szCs w:val="20"/>
              </w:rPr>
              <w:t>Demand Response Programs</w:t>
            </w:r>
          </w:p>
        </w:tc>
        <w:tc>
          <w:tcPr>
            <w:tcW w:w="1110" w:type="dxa"/>
            <w:shd w:val="clear" w:color="auto" w:fill="98A7FF" w:themeFill="accent2" w:themeFillTint="40"/>
          </w:tcPr>
          <w:p w14:paraId="76F252B4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365F78">
              <w:rPr>
                <w:rFonts w:ascii="Century Gothic" w:hAnsi="Century Gothic" w:cs="Calibri"/>
                <w:sz w:val="20"/>
                <w:szCs w:val="20"/>
              </w:rPr>
              <w:t>(</w:t>
            </w:r>
            <w:r w:rsidR="001B336F">
              <w:rPr>
                <w:rFonts w:ascii="Century Gothic" w:hAnsi="Century Gothic" w:cs="Calibri"/>
                <w:sz w:val="20"/>
                <w:szCs w:val="20"/>
              </w:rPr>
              <w:t>$</w:t>
            </w:r>
            <w:r w:rsidRPr="00365F78">
              <w:rPr>
                <w:rFonts w:ascii="Century Gothic" w:hAnsi="Century Gothic" w:cs="Calibri"/>
                <w:sz w:val="20"/>
                <w:szCs w:val="20"/>
              </w:rPr>
              <w:t>194)</w:t>
            </w:r>
          </w:p>
        </w:tc>
        <w:tc>
          <w:tcPr>
            <w:tcW w:w="858" w:type="dxa"/>
            <w:shd w:val="clear" w:color="auto" w:fill="98A7FF" w:themeFill="accent2" w:themeFillTint="40"/>
          </w:tcPr>
          <w:p w14:paraId="495BB655" w14:textId="77777777" w:rsidR="0034360A" w:rsidRPr="00365F78" w:rsidRDefault="00F73E29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-</w:t>
            </w:r>
            <w:r w:rsidR="0034360A" w:rsidRPr="00365F78">
              <w:rPr>
                <w:rFonts w:ascii="Century Gothic" w:hAnsi="Century Gothic" w:cs="Calibri"/>
                <w:sz w:val="20"/>
                <w:szCs w:val="20"/>
              </w:rPr>
              <w:t>0.2%</w:t>
            </w:r>
          </w:p>
        </w:tc>
        <w:tc>
          <w:tcPr>
            <w:tcW w:w="1145" w:type="dxa"/>
            <w:shd w:val="clear" w:color="auto" w:fill="98A7FF" w:themeFill="accent2" w:themeFillTint="40"/>
          </w:tcPr>
          <w:p w14:paraId="5E6EA6EE" w14:textId="77777777" w:rsidR="0034360A" w:rsidRPr="00365F78" w:rsidRDefault="0034360A" w:rsidP="0034360A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4360A" w:rsidRPr="00365F78" w14:paraId="0566DB0C" w14:textId="77777777" w:rsidTr="00FF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0D82D75" w14:textId="77777777" w:rsidR="0034360A" w:rsidRPr="00D75B31" w:rsidRDefault="0034360A" w:rsidP="0034360A">
            <w:pPr>
              <w:spacing w:line="0" w:lineRule="atLeast"/>
              <w:ind w:firstLine="0"/>
              <w:rPr>
                <w:rFonts w:ascii="Century Gothic" w:hAnsi="Century Gothic" w:cs="Calibri"/>
                <w:b w:val="0"/>
                <w:sz w:val="20"/>
                <w:szCs w:val="20"/>
              </w:rPr>
            </w:pPr>
            <w:r w:rsidRPr="00D75B31">
              <w:rPr>
                <w:rFonts w:ascii="Century Gothic" w:hAnsi="Century Gothic" w:cs="Calibri"/>
                <w:b w:val="0"/>
                <w:sz w:val="20"/>
                <w:szCs w:val="20"/>
              </w:rPr>
              <w:t>School Energy Efficiency Stimulus Program</w:t>
            </w:r>
          </w:p>
        </w:tc>
        <w:tc>
          <w:tcPr>
            <w:tcW w:w="1074" w:type="dxa"/>
            <w:shd w:val="clear" w:color="auto" w:fill="D5DBFF" w:themeFill="accent2" w:themeFillTint="1A"/>
          </w:tcPr>
          <w:p w14:paraId="6054DDE2" w14:textId="77777777" w:rsidR="0034360A" w:rsidRPr="00365F78" w:rsidRDefault="001B336F" w:rsidP="0034360A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$</w:t>
            </w:r>
            <w:r w:rsidR="0034360A" w:rsidRPr="00365F78">
              <w:rPr>
                <w:rFonts w:ascii="Century Gothic" w:hAnsi="Century Gothic" w:cs="Calibri"/>
                <w:sz w:val="20"/>
                <w:szCs w:val="20"/>
              </w:rPr>
              <w:t>100,699</w:t>
            </w:r>
          </w:p>
        </w:tc>
        <w:tc>
          <w:tcPr>
            <w:tcW w:w="627" w:type="dxa"/>
            <w:shd w:val="clear" w:color="auto" w:fill="D5DBFF" w:themeFill="accent2" w:themeFillTint="1A"/>
          </w:tcPr>
          <w:p w14:paraId="32D11506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365F78">
              <w:rPr>
                <w:rFonts w:ascii="Century Gothic" w:hAnsi="Century Gothic" w:cs="Calibri"/>
                <w:sz w:val="20"/>
                <w:szCs w:val="20"/>
              </w:rPr>
              <w:t>8%</w:t>
            </w:r>
          </w:p>
        </w:tc>
        <w:tc>
          <w:tcPr>
            <w:tcW w:w="3396" w:type="dxa"/>
            <w:shd w:val="clear" w:color="auto" w:fill="000F64" w:themeFill="accent2"/>
          </w:tcPr>
          <w:p w14:paraId="1A204C91" w14:textId="77777777" w:rsidR="0034360A" w:rsidRPr="00D75B31" w:rsidRDefault="0034360A" w:rsidP="0034360A">
            <w:pPr>
              <w:spacing w:line="0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D75B31">
              <w:rPr>
                <w:rFonts w:ascii="Century Gothic" w:hAnsi="Century Gothic" w:cs="Calibri"/>
                <w:sz w:val="20"/>
                <w:szCs w:val="20"/>
              </w:rPr>
              <w:t>FERC Transmission Balancing Account</w:t>
            </w:r>
          </w:p>
        </w:tc>
        <w:tc>
          <w:tcPr>
            <w:tcW w:w="1110" w:type="dxa"/>
            <w:shd w:val="clear" w:color="auto" w:fill="D5DBFF" w:themeFill="accent2" w:themeFillTint="1A"/>
          </w:tcPr>
          <w:p w14:paraId="642611CB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365F78">
              <w:rPr>
                <w:rFonts w:ascii="Century Gothic" w:hAnsi="Century Gothic" w:cs="Calibri"/>
                <w:sz w:val="20"/>
                <w:szCs w:val="20"/>
              </w:rPr>
              <w:t>(</w:t>
            </w:r>
            <w:r w:rsidR="001B336F">
              <w:rPr>
                <w:rFonts w:ascii="Century Gothic" w:hAnsi="Century Gothic" w:cs="Calibri"/>
                <w:sz w:val="20"/>
                <w:szCs w:val="20"/>
              </w:rPr>
              <w:t>$</w:t>
            </w:r>
            <w:r w:rsidRPr="00365F78">
              <w:rPr>
                <w:rFonts w:ascii="Century Gothic" w:hAnsi="Century Gothic" w:cs="Calibri"/>
                <w:sz w:val="20"/>
                <w:szCs w:val="20"/>
              </w:rPr>
              <w:t>87,500)</w:t>
            </w:r>
          </w:p>
        </w:tc>
        <w:tc>
          <w:tcPr>
            <w:tcW w:w="858" w:type="dxa"/>
            <w:shd w:val="clear" w:color="auto" w:fill="D5DBFF" w:themeFill="accent2" w:themeFillTint="1A"/>
          </w:tcPr>
          <w:p w14:paraId="23857EA7" w14:textId="77777777" w:rsidR="0034360A" w:rsidRPr="00365F78" w:rsidRDefault="00F73E29" w:rsidP="0034360A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-</w:t>
            </w:r>
            <w:r w:rsidR="0034360A" w:rsidRPr="00365F78">
              <w:rPr>
                <w:rFonts w:ascii="Century Gothic" w:hAnsi="Century Gothic" w:cs="Calibri"/>
                <w:sz w:val="20"/>
                <w:szCs w:val="20"/>
              </w:rPr>
              <w:t>74%</w:t>
            </w:r>
          </w:p>
        </w:tc>
        <w:tc>
          <w:tcPr>
            <w:tcW w:w="1145" w:type="dxa"/>
            <w:shd w:val="clear" w:color="auto" w:fill="D5DBFF" w:themeFill="accent2" w:themeFillTint="1A"/>
          </w:tcPr>
          <w:p w14:paraId="53588157" w14:textId="77777777" w:rsidR="0034360A" w:rsidRPr="00365F78" w:rsidRDefault="0034360A" w:rsidP="0034360A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4360A" w:rsidRPr="00365F78" w14:paraId="047EA65A" w14:textId="77777777" w:rsidTr="00FF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55EE192D" w14:textId="77777777" w:rsidR="0034360A" w:rsidRPr="00D75B31" w:rsidRDefault="0034360A" w:rsidP="0034360A">
            <w:pPr>
              <w:spacing w:line="0" w:lineRule="atLeast"/>
              <w:ind w:firstLine="0"/>
              <w:rPr>
                <w:rFonts w:ascii="Century Gothic" w:hAnsi="Century Gothic" w:cs="Calibri"/>
                <w:b w:val="0"/>
                <w:sz w:val="20"/>
                <w:szCs w:val="20"/>
              </w:rPr>
            </w:pPr>
            <w:r w:rsidRPr="00D75B31">
              <w:rPr>
                <w:rFonts w:ascii="Century Gothic" w:hAnsi="Century Gothic" w:cs="Calibri"/>
                <w:b w:val="0"/>
                <w:sz w:val="20"/>
                <w:szCs w:val="20"/>
              </w:rPr>
              <w:t>Recovery Bonds</w:t>
            </w:r>
          </w:p>
        </w:tc>
        <w:tc>
          <w:tcPr>
            <w:tcW w:w="1074" w:type="dxa"/>
            <w:shd w:val="clear" w:color="auto" w:fill="98A7FF" w:themeFill="accent2" w:themeFillTint="40"/>
          </w:tcPr>
          <w:p w14:paraId="2A48A792" w14:textId="77777777" w:rsidR="0034360A" w:rsidRPr="00365F78" w:rsidRDefault="001B336F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$</w:t>
            </w:r>
            <w:r w:rsidR="0034360A" w:rsidRPr="00365F78">
              <w:rPr>
                <w:rFonts w:ascii="Century Gothic" w:hAnsi="Century Gothic" w:cs="Calibri"/>
                <w:sz w:val="20"/>
                <w:szCs w:val="20"/>
              </w:rPr>
              <w:t>19,435</w:t>
            </w:r>
          </w:p>
        </w:tc>
        <w:tc>
          <w:tcPr>
            <w:tcW w:w="627" w:type="dxa"/>
            <w:shd w:val="clear" w:color="auto" w:fill="98A7FF" w:themeFill="accent2" w:themeFillTint="40"/>
          </w:tcPr>
          <w:p w14:paraId="405145CF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365F78">
              <w:rPr>
                <w:rFonts w:ascii="Century Gothic" w:hAnsi="Century Gothic" w:cs="Calibri"/>
                <w:sz w:val="20"/>
                <w:szCs w:val="20"/>
              </w:rPr>
              <w:t>33%</w:t>
            </w:r>
          </w:p>
        </w:tc>
        <w:tc>
          <w:tcPr>
            <w:tcW w:w="3396" w:type="dxa"/>
            <w:shd w:val="clear" w:color="auto" w:fill="000F64" w:themeFill="accent2"/>
          </w:tcPr>
          <w:p w14:paraId="08EFF1C4" w14:textId="77777777" w:rsidR="0034360A" w:rsidRPr="00D75B31" w:rsidRDefault="0034360A" w:rsidP="0034360A">
            <w:pPr>
              <w:spacing w:line="0" w:lineRule="atLeas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  <w:r w:rsidRPr="00D75B31">
              <w:rPr>
                <w:rFonts w:ascii="Century Gothic" w:hAnsi="Century Gothic" w:cs="Calibri"/>
                <w:sz w:val="20"/>
                <w:szCs w:val="20"/>
              </w:rPr>
              <w:t xml:space="preserve"> -- </w:t>
            </w:r>
          </w:p>
        </w:tc>
        <w:tc>
          <w:tcPr>
            <w:tcW w:w="1110" w:type="dxa"/>
            <w:shd w:val="clear" w:color="auto" w:fill="98A7FF" w:themeFill="accent2" w:themeFillTint="40"/>
          </w:tcPr>
          <w:p w14:paraId="781A9E54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98A7FF" w:themeFill="accent2" w:themeFillTint="40"/>
          </w:tcPr>
          <w:p w14:paraId="3038EA36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98A7FF" w:themeFill="accent2" w:themeFillTint="40"/>
          </w:tcPr>
          <w:p w14:paraId="127DF076" w14:textId="77777777" w:rsidR="0034360A" w:rsidRPr="00365F78" w:rsidRDefault="0034360A" w:rsidP="0034360A">
            <w:pPr>
              <w:spacing w:line="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95D9C" w:rsidRPr="00895D9C" w14:paraId="7978FBD1" w14:textId="77777777" w:rsidTr="00FF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9C0891D" w14:textId="77777777" w:rsidR="00895D9C" w:rsidRPr="00895D9C" w:rsidRDefault="00895D9C" w:rsidP="0034360A">
            <w:pPr>
              <w:spacing w:line="0" w:lineRule="atLeast"/>
              <w:ind w:firstLine="0"/>
              <w:jc w:val="right"/>
              <w:rPr>
                <w:rFonts w:ascii="Century Gothic" w:hAnsi="Century Gothic" w:cs="Calibri"/>
                <w:sz w:val="22"/>
                <w:szCs w:val="22"/>
              </w:rPr>
            </w:pPr>
            <w:r w:rsidRPr="00895D9C">
              <w:rPr>
                <w:rFonts w:ascii="Century Gothic" w:hAnsi="Century Gothic" w:cs="Calibri"/>
                <w:sz w:val="22"/>
                <w:szCs w:val="22"/>
              </w:rPr>
              <w:t>Subtotal</w:t>
            </w:r>
          </w:p>
        </w:tc>
        <w:tc>
          <w:tcPr>
            <w:tcW w:w="1701" w:type="dxa"/>
            <w:gridSpan w:val="2"/>
            <w:shd w:val="clear" w:color="auto" w:fill="D5DBFF" w:themeFill="accent2" w:themeFillTint="1A"/>
          </w:tcPr>
          <w:p w14:paraId="3A58DCC6" w14:textId="77777777" w:rsidR="00895D9C" w:rsidRPr="00895D9C" w:rsidRDefault="00895D9C" w:rsidP="00895D9C">
            <w:pPr>
              <w:spacing w:line="0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2"/>
                <w:szCs w:val="22"/>
              </w:rPr>
            </w:pPr>
            <w:r w:rsidRPr="00895D9C">
              <w:rPr>
                <w:rFonts w:ascii="Century Gothic" w:hAnsi="Century Gothic" w:cs="Calibri"/>
                <w:b/>
                <w:sz w:val="22"/>
                <w:szCs w:val="22"/>
              </w:rPr>
              <w:t>$234,907</w:t>
            </w:r>
          </w:p>
        </w:tc>
        <w:tc>
          <w:tcPr>
            <w:tcW w:w="3396" w:type="dxa"/>
            <w:shd w:val="clear" w:color="auto" w:fill="000F64" w:themeFill="accent2"/>
          </w:tcPr>
          <w:p w14:paraId="7E1A7D74" w14:textId="77777777" w:rsidR="00895D9C" w:rsidRPr="00895D9C" w:rsidRDefault="00895D9C" w:rsidP="0034360A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895D9C">
              <w:rPr>
                <w:rFonts w:ascii="Century Gothic" w:hAnsi="Century Gothic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1968" w:type="dxa"/>
            <w:gridSpan w:val="2"/>
            <w:shd w:val="clear" w:color="auto" w:fill="D5DBFF" w:themeFill="accent2" w:themeFillTint="1A"/>
          </w:tcPr>
          <w:p w14:paraId="594BD010" w14:textId="77777777" w:rsidR="00895D9C" w:rsidRPr="00895D9C" w:rsidRDefault="00895D9C" w:rsidP="00895D9C">
            <w:pPr>
              <w:spacing w:line="0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2"/>
                <w:szCs w:val="22"/>
              </w:rPr>
            </w:pPr>
            <w:r w:rsidRPr="00895D9C">
              <w:rPr>
                <w:rFonts w:ascii="Century Gothic" w:hAnsi="Century Gothic" w:cs="Calibri"/>
                <w:b/>
                <w:sz w:val="22"/>
                <w:szCs w:val="22"/>
              </w:rPr>
              <w:t>($119,021)</w:t>
            </w:r>
          </w:p>
        </w:tc>
        <w:tc>
          <w:tcPr>
            <w:tcW w:w="1145" w:type="dxa"/>
            <w:shd w:val="clear" w:color="auto" w:fill="D5DBFF" w:themeFill="accent2" w:themeFillTint="1A"/>
          </w:tcPr>
          <w:p w14:paraId="4C79D8A4" w14:textId="77777777" w:rsidR="00895D9C" w:rsidRPr="00895D9C" w:rsidRDefault="00895D9C" w:rsidP="25DC389E">
            <w:pPr>
              <w:spacing w:line="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1"/>
                <w:szCs w:val="21"/>
              </w:rPr>
            </w:pPr>
            <w:r w:rsidRPr="25DC389E">
              <w:rPr>
                <w:rFonts w:ascii="Century Gothic" w:hAnsi="Century Gothic" w:cs="Calibri"/>
                <w:b/>
                <w:bCs/>
                <w:sz w:val="21"/>
                <w:szCs w:val="21"/>
              </w:rPr>
              <w:t>$115,885</w:t>
            </w:r>
          </w:p>
        </w:tc>
      </w:tr>
    </w:tbl>
    <w:p w14:paraId="316184E0" w14:textId="77777777" w:rsidR="008D69F9" w:rsidRDefault="008D69F9" w:rsidP="00CB4F96">
      <w:pPr>
        <w:ind w:firstLine="0"/>
        <w:rPr>
          <w:rFonts w:ascii="Century Gothic" w:hAnsi="Century Gothic" w:cs="Calibri"/>
        </w:rPr>
      </w:pPr>
    </w:p>
    <w:p w14:paraId="1E1ADB31" w14:textId="236DD5F1" w:rsidR="009B612D" w:rsidRPr="009B612D" w:rsidRDefault="00B55530" w:rsidP="25DC389E">
      <w:pPr>
        <w:ind w:firstLine="0"/>
        <w:rPr>
          <w:rFonts w:ascii="Century Gothic" w:hAnsi="Century Gothic" w:cs="Calibri"/>
        </w:rPr>
      </w:pPr>
      <w:r w:rsidRPr="25DC389E">
        <w:rPr>
          <w:rFonts w:ascii="Century Gothic" w:hAnsi="Century Gothic" w:cs="Calibri"/>
        </w:rPr>
        <w:t>A</w:t>
      </w:r>
      <w:r w:rsidR="007A1E31" w:rsidRPr="25DC389E">
        <w:rPr>
          <w:rFonts w:ascii="Century Gothic" w:hAnsi="Century Gothic" w:cs="Calibri"/>
          <w:lang w:eastAsia="zh-TW"/>
        </w:rPr>
        <w:t xml:space="preserve"> summary</w:t>
      </w:r>
      <w:r w:rsidR="009B612D" w:rsidRPr="25DC389E">
        <w:rPr>
          <w:rFonts w:ascii="Century Gothic" w:hAnsi="Century Gothic" w:cs="Calibri"/>
        </w:rPr>
        <w:t xml:space="preserve"> of each </w:t>
      </w:r>
      <w:r w:rsidR="007A1E31" w:rsidRPr="25DC389E">
        <w:rPr>
          <w:rFonts w:ascii="Century Gothic" w:hAnsi="Century Gothic" w:cs="Calibri"/>
        </w:rPr>
        <w:t xml:space="preserve">revenue change </w:t>
      </w:r>
      <w:r w:rsidR="009B612D" w:rsidRPr="25DC389E">
        <w:rPr>
          <w:rFonts w:ascii="Century Gothic" w:hAnsi="Century Gothic" w:cs="Calibri"/>
        </w:rPr>
        <w:t>item listed in the table above</w:t>
      </w:r>
      <w:r w:rsidR="007A1E31" w:rsidRPr="25DC389E">
        <w:rPr>
          <w:rFonts w:ascii="Century Gothic" w:hAnsi="Century Gothic" w:cs="Calibri"/>
        </w:rPr>
        <w:t>:</w:t>
      </w:r>
    </w:p>
    <w:p w14:paraId="07579D47" w14:textId="77777777" w:rsidR="00664C8E" w:rsidRDefault="00E3467E" w:rsidP="009C3CFA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 xml:space="preserve">The primary drivers of the </w:t>
      </w:r>
      <w:r w:rsidR="00DC65AD">
        <w:rPr>
          <w:rFonts w:ascii="Century Gothic" w:hAnsi="Century Gothic" w:cs="Calibri"/>
        </w:rPr>
        <w:t>June</w:t>
      </w:r>
      <w:r>
        <w:rPr>
          <w:rFonts w:ascii="Century Gothic" w:hAnsi="Century Gothic" w:cs="Calibri"/>
        </w:rPr>
        <w:t xml:space="preserve"> 1</w:t>
      </w:r>
      <w:r w:rsidRPr="00E3467E">
        <w:rPr>
          <w:rFonts w:ascii="Century Gothic" w:hAnsi="Century Gothic" w:cs="Calibri"/>
          <w:vertAlign w:val="superscript"/>
        </w:rPr>
        <w:t>st</w:t>
      </w:r>
      <w:r>
        <w:rPr>
          <w:rFonts w:ascii="Century Gothic" w:hAnsi="Century Gothic" w:cs="Calibri"/>
        </w:rPr>
        <w:t xml:space="preserve"> rate </w:t>
      </w:r>
      <w:r w:rsidR="00AF56A6">
        <w:rPr>
          <w:rFonts w:ascii="Century Gothic" w:hAnsi="Century Gothic" w:cs="Calibri"/>
        </w:rPr>
        <w:t xml:space="preserve">increase </w:t>
      </w:r>
      <w:r>
        <w:rPr>
          <w:rFonts w:ascii="Century Gothic" w:hAnsi="Century Gothic" w:cs="Calibri"/>
        </w:rPr>
        <w:t>are:</w:t>
      </w:r>
    </w:p>
    <w:p w14:paraId="4739624B" w14:textId="21DD6E13" w:rsidR="009B612D" w:rsidRPr="00844C8D" w:rsidRDefault="009B612D" w:rsidP="0011533B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  <w:b/>
          <w:bCs/>
        </w:rPr>
      </w:pPr>
      <w:proofErr w:type="spellStart"/>
      <w:r w:rsidRPr="00844C8D">
        <w:rPr>
          <w:rFonts w:ascii="Century Gothic" w:hAnsi="Century Gothic" w:cs="Calibri"/>
          <w:b/>
          <w:bCs/>
        </w:rPr>
        <w:t>Mobilehome</w:t>
      </w:r>
      <w:proofErr w:type="spellEnd"/>
      <w:r w:rsidRPr="00844C8D">
        <w:rPr>
          <w:rFonts w:ascii="Century Gothic" w:hAnsi="Century Gothic" w:cs="Calibri"/>
          <w:b/>
          <w:bCs/>
        </w:rPr>
        <w:t xml:space="preserve"> Park Master Meter Balancing Account </w:t>
      </w:r>
      <w:r w:rsidR="00481E6D" w:rsidRPr="00844C8D">
        <w:rPr>
          <w:rFonts w:ascii="Century Gothic" w:hAnsi="Century Gothic" w:cs="Calibri"/>
          <w:b/>
          <w:bCs/>
        </w:rPr>
        <w:t xml:space="preserve">(MMMBA) </w:t>
      </w:r>
      <w:r w:rsidRPr="00844C8D">
        <w:rPr>
          <w:rFonts w:ascii="Century Gothic" w:hAnsi="Century Gothic" w:cs="Calibri"/>
          <w:b/>
          <w:bCs/>
        </w:rPr>
        <w:t>($25.926 million)</w:t>
      </w:r>
    </w:p>
    <w:p w14:paraId="7F7CA53E" w14:textId="77777777" w:rsidR="00481E6D" w:rsidRDefault="00481E6D" w:rsidP="00F84840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 w:rsidRPr="00481E6D">
        <w:rPr>
          <w:rFonts w:ascii="Century Gothic" w:hAnsi="Century Gothic" w:cs="Calibri"/>
        </w:rPr>
        <w:t>In accordance with D.14-03-021, SCE submitted Advice 4372-E to provide the operation of the MMMBA in 2020 and to transfer the December 31, 2020 MMMBA</w:t>
      </w:r>
      <w:r w:rsidRPr="00481E6D">
        <w:rPr>
          <w:rFonts w:ascii="Century Gothic" w:hAnsi="Century Gothic" w:cs="Calibri" w:hint="eastAsia"/>
          <w:lang w:eastAsia="zh-TW"/>
        </w:rPr>
        <w:t xml:space="preserve"> bala</w:t>
      </w:r>
      <w:r w:rsidRPr="00481E6D">
        <w:rPr>
          <w:rFonts w:ascii="Century Gothic" w:hAnsi="Century Gothic" w:cs="Calibri"/>
          <w:lang w:eastAsia="zh-TW"/>
        </w:rPr>
        <w:t xml:space="preserve">nce to be collected from customers in 2021 distribution rates. </w:t>
      </w:r>
    </w:p>
    <w:p w14:paraId="6BDC3F18" w14:textId="6C89EF95" w:rsidR="00481E6D" w:rsidRPr="007A1E31" w:rsidRDefault="00481E6D" w:rsidP="00F84840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 w:rsidRPr="007A1E31">
        <w:rPr>
          <w:rFonts w:ascii="Century Gothic" w:hAnsi="Century Gothic" w:cs="Calibri"/>
          <w:lang w:eastAsia="zh-TW"/>
        </w:rPr>
        <w:t>Advice 4372-E was approved by Energy Division on April 13, 2021, with a December 17, 2020</w:t>
      </w:r>
      <w:bookmarkStart w:id="0" w:name="_GoBack"/>
      <w:bookmarkEnd w:id="0"/>
      <w:r w:rsidRPr="007A1E31">
        <w:rPr>
          <w:rFonts w:ascii="Century Gothic" w:hAnsi="Century Gothic" w:cs="Calibri"/>
          <w:lang w:eastAsia="zh-TW"/>
        </w:rPr>
        <w:t xml:space="preserve"> effective date. </w:t>
      </w:r>
      <w:r w:rsidR="007A1E31" w:rsidRPr="007A1E31">
        <w:rPr>
          <w:rFonts w:ascii="Century Gothic" w:hAnsi="Century Gothic" w:cs="Calibri"/>
          <w:lang w:eastAsia="zh-TW"/>
        </w:rPr>
        <w:t xml:space="preserve">As a result, </w:t>
      </w:r>
      <w:r w:rsidRPr="007A1E31">
        <w:rPr>
          <w:rFonts w:ascii="Century Gothic" w:hAnsi="Century Gothic" w:cs="Calibri"/>
          <w:lang w:eastAsia="zh-TW"/>
        </w:rPr>
        <w:t xml:space="preserve">SCE transferred the actual 2020 recorded year-end balance in the MMMBA of $25.634 </w:t>
      </w:r>
      <w:r w:rsidR="00B55530">
        <w:rPr>
          <w:rFonts w:ascii="Century Gothic" w:hAnsi="Century Gothic" w:cs="Calibri"/>
          <w:lang w:eastAsia="zh-TW"/>
        </w:rPr>
        <w:t>m</w:t>
      </w:r>
      <w:r w:rsidR="00B55530" w:rsidRPr="007A1E31">
        <w:rPr>
          <w:rFonts w:ascii="Century Gothic" w:hAnsi="Century Gothic" w:cs="Calibri"/>
          <w:lang w:eastAsia="zh-TW"/>
        </w:rPr>
        <w:t>illion</w:t>
      </w:r>
      <w:r w:rsidRPr="007A1E31">
        <w:rPr>
          <w:rFonts w:ascii="Century Gothic" w:hAnsi="Century Gothic" w:cs="Calibri"/>
          <w:lang w:eastAsia="zh-TW"/>
        </w:rPr>
        <w:t>, which will increase the June 1, 2021 revenue</w:t>
      </w:r>
      <w:r w:rsidR="00B55530">
        <w:rPr>
          <w:rFonts w:ascii="Century Gothic" w:hAnsi="Century Gothic" w:cs="Calibri"/>
          <w:lang w:eastAsia="zh-TW"/>
        </w:rPr>
        <w:t>s</w:t>
      </w:r>
      <w:r w:rsidRPr="007A1E31">
        <w:rPr>
          <w:rFonts w:ascii="Century Gothic" w:hAnsi="Century Gothic" w:cs="Calibri"/>
          <w:lang w:eastAsia="zh-TW"/>
        </w:rPr>
        <w:t xml:space="preserve"> for recovery via distribution rates. </w:t>
      </w:r>
    </w:p>
    <w:p w14:paraId="7B6D7A6B" w14:textId="77777777" w:rsidR="00F27C93" w:rsidRPr="00844C8D" w:rsidRDefault="00481E6D" w:rsidP="00AC13ED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  <w:b/>
          <w:bCs/>
        </w:rPr>
      </w:pPr>
      <w:r w:rsidRPr="00844C8D">
        <w:rPr>
          <w:rFonts w:ascii="Century Gothic" w:hAnsi="Century Gothic" w:cs="Calibri"/>
          <w:b/>
          <w:bCs/>
        </w:rPr>
        <w:t>Summer Reliability OIR (</w:t>
      </w:r>
      <w:r w:rsidR="006B41EE">
        <w:rPr>
          <w:rFonts w:ascii="Century Gothic" w:hAnsi="Century Gothic" w:cs="Calibri"/>
          <w:b/>
          <w:bCs/>
        </w:rPr>
        <w:t>$</w:t>
      </w:r>
      <w:r w:rsidRPr="00844C8D">
        <w:rPr>
          <w:rFonts w:ascii="Century Gothic" w:hAnsi="Century Gothic" w:cs="Calibri"/>
          <w:b/>
          <w:bCs/>
        </w:rPr>
        <w:t>12.33 million)</w:t>
      </w:r>
      <w:r w:rsidR="00F27C93" w:rsidRPr="00844C8D">
        <w:rPr>
          <w:rFonts w:ascii="Century Gothic" w:hAnsi="Century Gothic" w:cs="Calibri"/>
          <w:b/>
          <w:bCs/>
        </w:rPr>
        <w:t xml:space="preserve"> </w:t>
      </w:r>
    </w:p>
    <w:p w14:paraId="31FE6112" w14:textId="02B90B76" w:rsidR="00481E6D" w:rsidRDefault="00481E6D" w:rsidP="00AC13ED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On November 19</w:t>
      </w:r>
      <w:r w:rsidR="00B55530">
        <w:rPr>
          <w:rFonts w:ascii="Century Gothic" w:hAnsi="Century Gothic" w:cs="Calibri"/>
        </w:rPr>
        <w:t>,</w:t>
      </w:r>
      <w:r>
        <w:rPr>
          <w:rFonts w:ascii="Century Gothic" w:hAnsi="Century Gothic" w:cs="Calibri"/>
        </w:rPr>
        <w:t xml:space="preserve"> 2020, the CPUC</w:t>
      </w:r>
      <w:r>
        <w:rPr>
          <w:rFonts w:ascii="Century Gothic" w:hAnsi="Century Gothic" w:cs="Calibri" w:hint="eastAsia"/>
          <w:lang w:eastAsia="zh-TW"/>
        </w:rPr>
        <w:t xml:space="preserve"> </w:t>
      </w:r>
      <w:r>
        <w:rPr>
          <w:rFonts w:ascii="Century Gothic" w:hAnsi="Century Gothic" w:cs="Calibri"/>
          <w:lang w:eastAsia="zh-TW"/>
        </w:rPr>
        <w:t>initiated R.20-11-003 to establish policies</w:t>
      </w:r>
      <w:r w:rsidR="007A1E31">
        <w:rPr>
          <w:rFonts w:ascii="Century Gothic" w:hAnsi="Century Gothic" w:cs="Calibri"/>
          <w:lang w:eastAsia="zh-TW"/>
        </w:rPr>
        <w:t>,</w:t>
      </w:r>
      <w:r>
        <w:rPr>
          <w:rFonts w:ascii="Century Gothic" w:hAnsi="Century Gothic" w:cs="Calibri"/>
          <w:lang w:eastAsia="zh-TW"/>
        </w:rPr>
        <w:t xml:space="preserve"> process</w:t>
      </w:r>
      <w:r w:rsidR="007A1E31">
        <w:rPr>
          <w:rFonts w:ascii="Century Gothic" w:hAnsi="Century Gothic" w:cs="Calibri"/>
          <w:lang w:eastAsia="zh-TW"/>
        </w:rPr>
        <w:t>es</w:t>
      </w:r>
      <w:r>
        <w:rPr>
          <w:rFonts w:ascii="Century Gothic" w:hAnsi="Century Gothic" w:cs="Calibri"/>
          <w:lang w:eastAsia="zh-TW"/>
        </w:rPr>
        <w:t>, and rules to ensure reliable electric service in California in the event of an extreme weather even</w:t>
      </w:r>
      <w:r w:rsidR="00FC571D">
        <w:rPr>
          <w:rFonts w:ascii="Century Gothic" w:hAnsi="Century Gothic" w:cs="Calibri"/>
          <w:lang w:eastAsia="zh-TW"/>
        </w:rPr>
        <w:t>t</w:t>
      </w:r>
      <w:r>
        <w:rPr>
          <w:rFonts w:ascii="Century Gothic" w:hAnsi="Century Gothic" w:cs="Calibri"/>
          <w:lang w:eastAsia="zh-TW"/>
        </w:rPr>
        <w:t xml:space="preserve"> in 2021</w:t>
      </w:r>
      <w:r w:rsidR="00FC571D">
        <w:rPr>
          <w:rFonts w:ascii="Century Gothic" w:hAnsi="Century Gothic" w:cs="Calibri"/>
          <w:lang w:eastAsia="zh-TW"/>
        </w:rPr>
        <w:t>/</w:t>
      </w:r>
      <w:r>
        <w:rPr>
          <w:rFonts w:ascii="Century Gothic" w:hAnsi="Century Gothic" w:cs="Calibri"/>
          <w:lang w:eastAsia="zh-TW"/>
        </w:rPr>
        <w:t xml:space="preserve">22. </w:t>
      </w:r>
    </w:p>
    <w:p w14:paraId="06DEAF4F" w14:textId="77777777" w:rsidR="00980775" w:rsidRDefault="00980775" w:rsidP="00F84840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 w:rsidRPr="00980775">
        <w:rPr>
          <w:rFonts w:ascii="Century Gothic" w:hAnsi="Century Gothic" w:cs="Calibri"/>
          <w:lang w:eastAsia="zh-TW"/>
        </w:rPr>
        <w:t>In accordance with O</w:t>
      </w:r>
      <w:r w:rsidR="007A1E31">
        <w:rPr>
          <w:rFonts w:ascii="Century Gothic" w:hAnsi="Century Gothic" w:cs="Calibri"/>
          <w:lang w:eastAsia="zh-TW"/>
        </w:rPr>
        <w:t>P</w:t>
      </w:r>
      <w:r w:rsidRPr="00980775">
        <w:rPr>
          <w:rFonts w:ascii="Century Gothic" w:hAnsi="Century Gothic" w:cs="Calibri"/>
          <w:lang w:eastAsia="zh-TW"/>
        </w:rPr>
        <w:t>s 3 and 15 of D.21-03-056, SCE submitted Advice 4474-E to set forth the incremental 2021-22 authorized D</w:t>
      </w:r>
      <w:r w:rsidR="00FC571D">
        <w:rPr>
          <w:rFonts w:ascii="Century Gothic" w:hAnsi="Century Gothic" w:cs="Calibri"/>
          <w:lang w:eastAsia="zh-TW"/>
        </w:rPr>
        <w:t xml:space="preserve">emand </w:t>
      </w:r>
      <w:r w:rsidRPr="00980775">
        <w:rPr>
          <w:rFonts w:ascii="Century Gothic" w:hAnsi="Century Gothic" w:cs="Calibri"/>
          <w:lang w:eastAsia="zh-TW"/>
        </w:rPr>
        <w:t>R</w:t>
      </w:r>
      <w:r w:rsidR="00FC571D">
        <w:rPr>
          <w:rFonts w:ascii="Century Gothic" w:hAnsi="Century Gothic" w:cs="Calibri"/>
          <w:lang w:eastAsia="zh-TW"/>
        </w:rPr>
        <w:t>esponse</w:t>
      </w:r>
      <w:r w:rsidRPr="00980775">
        <w:rPr>
          <w:rFonts w:ascii="Century Gothic" w:hAnsi="Century Gothic" w:cs="Calibri"/>
          <w:lang w:eastAsia="zh-TW"/>
        </w:rPr>
        <w:t xml:space="preserve"> </w:t>
      </w:r>
      <w:r w:rsidR="00FC571D">
        <w:rPr>
          <w:rFonts w:ascii="Century Gothic" w:hAnsi="Century Gothic" w:cs="Calibri"/>
          <w:lang w:eastAsia="zh-TW"/>
        </w:rPr>
        <w:t xml:space="preserve">(DR) </w:t>
      </w:r>
      <w:r w:rsidRPr="00980775">
        <w:rPr>
          <w:rFonts w:ascii="Century Gothic" w:hAnsi="Century Gothic" w:cs="Calibri"/>
          <w:lang w:eastAsia="zh-TW"/>
        </w:rPr>
        <w:t xml:space="preserve">and Statewide Marketing, Education, and Outreach (SME&amp;O) funding amounts adopted in the decision. </w:t>
      </w:r>
    </w:p>
    <w:p w14:paraId="27F80CEB" w14:textId="096CF149" w:rsidR="00980775" w:rsidRDefault="00980775" w:rsidP="00F84840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 w:rsidRPr="00980775">
        <w:rPr>
          <w:rFonts w:ascii="Century Gothic" w:hAnsi="Century Gothic" w:cs="Calibri"/>
          <w:lang w:eastAsia="zh-TW"/>
        </w:rPr>
        <w:t xml:space="preserve">SCE is authorized to recover </w:t>
      </w:r>
      <w:r w:rsidR="00E5326B">
        <w:rPr>
          <w:rFonts w:ascii="Century Gothic" w:hAnsi="Century Gothic" w:cs="Calibri"/>
          <w:lang w:eastAsia="zh-TW"/>
        </w:rPr>
        <w:t>$5</w:t>
      </w:r>
      <w:r w:rsidR="00C04068">
        <w:rPr>
          <w:rFonts w:ascii="Century Gothic" w:hAnsi="Century Gothic" w:cs="Calibri"/>
          <w:lang w:eastAsia="zh-TW"/>
        </w:rPr>
        <w:t>.</w:t>
      </w:r>
      <w:r w:rsidR="00E5326B">
        <w:rPr>
          <w:rFonts w:ascii="Century Gothic" w:hAnsi="Century Gothic" w:cs="Calibri"/>
          <w:lang w:eastAsia="zh-TW"/>
        </w:rPr>
        <w:t xml:space="preserve">46 million </w:t>
      </w:r>
      <w:r w:rsidR="00510E3C">
        <w:rPr>
          <w:rFonts w:ascii="Century Gothic" w:hAnsi="Century Gothic" w:cs="Calibri"/>
          <w:lang w:eastAsia="zh-TW"/>
        </w:rPr>
        <w:t xml:space="preserve">for </w:t>
      </w:r>
      <w:r w:rsidRPr="00980775">
        <w:rPr>
          <w:rFonts w:ascii="Century Gothic" w:hAnsi="Century Gothic" w:cs="Calibri"/>
          <w:lang w:eastAsia="zh-TW"/>
        </w:rPr>
        <w:t>SME&amp;O</w:t>
      </w:r>
      <w:r w:rsidR="00510E3C">
        <w:rPr>
          <w:rFonts w:ascii="Century Gothic" w:hAnsi="Century Gothic" w:cs="Calibri"/>
          <w:lang w:eastAsia="zh-TW"/>
        </w:rPr>
        <w:t xml:space="preserve"> funding</w:t>
      </w:r>
      <w:r w:rsidR="00E5326B">
        <w:rPr>
          <w:rFonts w:ascii="Century Gothic" w:hAnsi="Century Gothic" w:cs="Calibri"/>
          <w:lang w:eastAsia="zh-TW"/>
        </w:rPr>
        <w:t>,</w:t>
      </w:r>
      <w:r>
        <w:rPr>
          <w:rFonts w:ascii="Century Gothic" w:hAnsi="Century Gothic" w:cs="Calibri"/>
          <w:lang w:eastAsia="zh-TW"/>
        </w:rPr>
        <w:t xml:space="preserve"> and $4.68 million</w:t>
      </w:r>
      <w:r w:rsidR="00E5326B">
        <w:rPr>
          <w:rFonts w:ascii="Century Gothic" w:hAnsi="Century Gothic" w:cs="Calibri"/>
          <w:lang w:eastAsia="zh-TW"/>
        </w:rPr>
        <w:t xml:space="preserve"> </w:t>
      </w:r>
      <w:r>
        <w:rPr>
          <w:rFonts w:ascii="Century Gothic" w:hAnsi="Century Gothic" w:cs="Calibri"/>
          <w:lang w:eastAsia="zh-TW"/>
        </w:rPr>
        <w:t>in distribution rate</w:t>
      </w:r>
      <w:r w:rsidR="0024388B">
        <w:rPr>
          <w:rFonts w:ascii="Century Gothic" w:hAnsi="Century Gothic" w:cs="Calibri"/>
          <w:lang w:eastAsia="zh-TW"/>
        </w:rPr>
        <w:t>s</w:t>
      </w:r>
      <w:r>
        <w:rPr>
          <w:rFonts w:ascii="Century Gothic" w:hAnsi="Century Gothic" w:cs="Calibri"/>
          <w:lang w:eastAsia="zh-TW"/>
        </w:rPr>
        <w:t xml:space="preserve"> and $2.19 million in generation rate</w:t>
      </w:r>
      <w:r w:rsidR="0024388B">
        <w:rPr>
          <w:rFonts w:ascii="Century Gothic" w:hAnsi="Century Gothic" w:cs="Calibri"/>
          <w:lang w:eastAsia="zh-TW"/>
        </w:rPr>
        <w:t>s</w:t>
      </w:r>
      <w:r w:rsidR="00510E3C">
        <w:rPr>
          <w:rFonts w:ascii="Century Gothic" w:hAnsi="Century Gothic" w:cs="Calibri"/>
          <w:lang w:eastAsia="zh-TW"/>
        </w:rPr>
        <w:t xml:space="preserve"> for DR program funding</w:t>
      </w:r>
      <w:r>
        <w:rPr>
          <w:rFonts w:ascii="Century Gothic" w:hAnsi="Century Gothic" w:cs="Calibri"/>
          <w:lang w:eastAsia="zh-TW"/>
        </w:rPr>
        <w:t>.</w:t>
      </w:r>
    </w:p>
    <w:p w14:paraId="72145515" w14:textId="77777777" w:rsidR="00E3467E" w:rsidRPr="00844C8D" w:rsidRDefault="00980775" w:rsidP="0011533B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  <w:b/>
          <w:bCs/>
        </w:rPr>
      </w:pPr>
      <w:r w:rsidRPr="00844C8D">
        <w:rPr>
          <w:rFonts w:ascii="Century Gothic" w:hAnsi="Century Gothic" w:cs="Calibri"/>
          <w:b/>
          <w:bCs/>
        </w:rPr>
        <w:t>Energy Efficiency Program</w:t>
      </w:r>
      <w:r w:rsidR="00E32A59" w:rsidRPr="00844C8D">
        <w:rPr>
          <w:rFonts w:ascii="Century Gothic" w:hAnsi="Century Gothic" w:cs="Calibri"/>
          <w:b/>
          <w:bCs/>
        </w:rPr>
        <w:t xml:space="preserve"> ($</w:t>
      </w:r>
      <w:r w:rsidRPr="00844C8D">
        <w:rPr>
          <w:rFonts w:ascii="Century Gothic" w:hAnsi="Century Gothic" w:cs="Calibri"/>
          <w:b/>
          <w:bCs/>
        </w:rPr>
        <w:t>76.617 million</w:t>
      </w:r>
      <w:r w:rsidR="00E32A59" w:rsidRPr="00844C8D">
        <w:rPr>
          <w:rFonts w:ascii="Century Gothic" w:hAnsi="Century Gothic" w:cs="Calibri"/>
          <w:b/>
          <w:bCs/>
        </w:rPr>
        <w:t>)</w:t>
      </w:r>
    </w:p>
    <w:p w14:paraId="1110EBEF" w14:textId="1B5FB68F" w:rsidR="00980775" w:rsidRDefault="00980775" w:rsidP="00980775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SCE submitted Advice 4285-E-A to set forth SCE’</w:t>
      </w:r>
      <w:r w:rsidR="00575DCA">
        <w:rPr>
          <w:rFonts w:ascii="Century Gothic" w:hAnsi="Century Gothic" w:cs="Calibri"/>
        </w:rPr>
        <w:t>s Energy Efficiency</w:t>
      </w:r>
      <w:r>
        <w:rPr>
          <w:rFonts w:ascii="Century Gothic" w:hAnsi="Century Gothic" w:cs="Calibri"/>
        </w:rPr>
        <w:t xml:space="preserve"> </w:t>
      </w:r>
      <w:r w:rsidR="0068112A">
        <w:rPr>
          <w:rFonts w:ascii="Century Gothic" w:hAnsi="Century Gothic" w:cs="Calibri"/>
        </w:rPr>
        <w:t xml:space="preserve">(EE) </w:t>
      </w:r>
      <w:r>
        <w:rPr>
          <w:rFonts w:ascii="Century Gothic" w:hAnsi="Century Gothic" w:cs="Calibri"/>
        </w:rPr>
        <w:t xml:space="preserve">Program and Portfolio Annual Budget Advice Letter </w:t>
      </w:r>
      <w:r w:rsidR="00575DCA">
        <w:rPr>
          <w:rFonts w:ascii="Century Gothic" w:hAnsi="Century Gothic" w:cs="Calibri"/>
        </w:rPr>
        <w:t xml:space="preserve">(ABAL) </w:t>
      </w:r>
      <w:r>
        <w:rPr>
          <w:rFonts w:ascii="Century Gothic" w:hAnsi="Century Gothic" w:cs="Calibri"/>
        </w:rPr>
        <w:t xml:space="preserve">for 2021. The ABAL proposed detailed budgets for cost recovery, transfer, and contracting for SCE’s EE portfolio for 2021. </w:t>
      </w:r>
    </w:p>
    <w:p w14:paraId="5137F97A" w14:textId="28625780" w:rsidR="00980775" w:rsidRDefault="2D2DD03B" w:rsidP="25DC389E">
      <w:pPr>
        <w:pStyle w:val="ListParagraph"/>
        <w:numPr>
          <w:ilvl w:val="2"/>
          <w:numId w:val="3"/>
        </w:numPr>
        <w:spacing w:before="140"/>
      </w:pPr>
      <w:r w:rsidRPr="25DC389E">
        <w:rPr>
          <w:rFonts w:ascii="Century Gothic" w:hAnsi="Century Gothic" w:cs="Calibri"/>
        </w:rPr>
        <w:t xml:space="preserve">In a disposition letter issued </w:t>
      </w:r>
      <w:r w:rsidR="00980775" w:rsidRPr="25DC389E">
        <w:rPr>
          <w:rFonts w:ascii="Century Gothic" w:hAnsi="Century Gothic" w:cs="Calibri"/>
        </w:rPr>
        <w:t xml:space="preserve">December 28, 2020, Energy Division rejected Advice </w:t>
      </w:r>
      <w:r w:rsidR="419262FC" w:rsidRPr="25DC389E">
        <w:rPr>
          <w:rFonts w:ascii="Century Gothic" w:hAnsi="Century Gothic" w:cs="Calibri"/>
        </w:rPr>
        <w:t xml:space="preserve">Letter </w:t>
      </w:r>
      <w:r w:rsidR="00980775" w:rsidRPr="25DC389E">
        <w:rPr>
          <w:rFonts w:ascii="Century Gothic" w:hAnsi="Century Gothic" w:cs="Calibri"/>
        </w:rPr>
        <w:t>4285-E-A, but</w:t>
      </w:r>
      <w:r w:rsidR="01789DB7" w:rsidRPr="25DC389E">
        <w:rPr>
          <w:rFonts w:ascii="Century Gothic" w:hAnsi="Century Gothic" w:cs="Calibri"/>
        </w:rPr>
        <w:t xml:space="preserve"> nevertheless</w:t>
      </w:r>
      <w:r w:rsidR="00980775" w:rsidRPr="25DC389E">
        <w:rPr>
          <w:rFonts w:ascii="Century Gothic" w:hAnsi="Century Gothic" w:cs="Calibri"/>
        </w:rPr>
        <w:t xml:space="preserve"> approved SCE’s </w:t>
      </w:r>
      <w:r w:rsidR="0068112A" w:rsidRPr="25DC389E">
        <w:rPr>
          <w:rFonts w:ascii="Century Gothic" w:hAnsi="Century Gothic" w:cs="Calibri"/>
        </w:rPr>
        <w:t xml:space="preserve">2021 </w:t>
      </w:r>
      <w:r w:rsidR="00980775" w:rsidRPr="25DC389E">
        <w:rPr>
          <w:rFonts w:ascii="Century Gothic" w:hAnsi="Century Gothic" w:cs="Calibri"/>
        </w:rPr>
        <w:t>budget request</w:t>
      </w:r>
      <w:r w:rsidR="2D9C98E5" w:rsidRPr="25DC389E">
        <w:rPr>
          <w:rFonts w:ascii="Century Gothic" w:hAnsi="Century Gothic" w:cs="Calibri"/>
        </w:rPr>
        <w:t xml:space="preserve"> because it represented a “good faith effort” </w:t>
      </w:r>
      <w:r w:rsidR="0AF2AA29" w:rsidRPr="25DC389E">
        <w:rPr>
          <w:rFonts w:ascii="Century Gothic" w:hAnsi="Century Gothic" w:cs="Calibri"/>
        </w:rPr>
        <w:t xml:space="preserve">to estimate “energy efficiency costs and benefits, as well as budgets” in light of </w:t>
      </w:r>
      <w:r w:rsidR="5960B03C" w:rsidRPr="25DC389E">
        <w:rPr>
          <w:rFonts w:ascii="Century Gothic" w:hAnsi="Century Gothic" w:cs="Calibri"/>
        </w:rPr>
        <w:t>COVID-19 impacts as envisioned by the Commission in the Energy Efficiency proceeding</w:t>
      </w:r>
      <w:r w:rsidR="00980775" w:rsidRPr="25DC389E">
        <w:rPr>
          <w:rFonts w:ascii="Century Gothic" w:hAnsi="Century Gothic" w:cs="Calibri"/>
        </w:rPr>
        <w:t>.</w:t>
      </w:r>
      <w:r w:rsidR="00980775" w:rsidRPr="25DC389E">
        <w:rPr>
          <w:rStyle w:val="FootnoteReference"/>
          <w:rFonts w:ascii="Century Gothic" w:hAnsi="Century Gothic" w:cs="Calibri"/>
        </w:rPr>
        <w:footnoteReference w:id="3"/>
      </w:r>
      <w:r w:rsidR="00980775" w:rsidRPr="25DC389E">
        <w:rPr>
          <w:rFonts w:ascii="Century Gothic" w:hAnsi="Century Gothic" w:cs="Calibri"/>
        </w:rPr>
        <w:t xml:space="preserve"> However, this approval was received too late to include in SCE’s February 1, 2021 rate change</w:t>
      </w:r>
      <w:r w:rsidR="00575DCA" w:rsidRPr="25DC389E">
        <w:rPr>
          <w:rFonts w:ascii="Century Gothic" w:hAnsi="Century Gothic" w:cs="Calibri"/>
        </w:rPr>
        <w:t xml:space="preserve"> and </w:t>
      </w:r>
      <w:r w:rsidR="0068112A" w:rsidRPr="25DC389E">
        <w:rPr>
          <w:rFonts w:ascii="Century Gothic" w:hAnsi="Century Gothic" w:cs="Calibri"/>
        </w:rPr>
        <w:t>so was included here</w:t>
      </w:r>
      <w:r w:rsidR="00816C15" w:rsidRPr="25DC389E">
        <w:rPr>
          <w:rFonts w:ascii="Century Gothic" w:hAnsi="Century Gothic" w:cs="Calibri"/>
        </w:rPr>
        <w:t xml:space="preserve">. </w:t>
      </w:r>
    </w:p>
    <w:p w14:paraId="6B6AAC5D" w14:textId="77777777" w:rsidR="00816C15" w:rsidRPr="00844C8D" w:rsidRDefault="00816C15" w:rsidP="00816C15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  <w:b/>
          <w:bCs/>
        </w:rPr>
      </w:pPr>
      <w:r w:rsidRPr="00844C8D">
        <w:rPr>
          <w:rFonts w:ascii="Century Gothic" w:hAnsi="Century Gothic" w:cs="Calibri"/>
          <w:b/>
          <w:bCs/>
        </w:rPr>
        <w:lastRenderedPageBreak/>
        <w:t>School Energy Efficiency Stimulus Program ($100.699 million)</w:t>
      </w:r>
    </w:p>
    <w:p w14:paraId="76634CF7" w14:textId="07D0D175" w:rsidR="00816C15" w:rsidRDefault="00816C15" w:rsidP="00816C15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AB 841, signed into law on September 30, 2020, established the School Energy Efficiency Stimulus Program. The purpose of the Stimulus Program</w:t>
      </w:r>
      <w:r w:rsidR="00B9215D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is to improve ventilation and replace old or inefficient plumbing fixtures to prepare schools for operating during the COVID-19 pandemic. </w:t>
      </w:r>
    </w:p>
    <w:p w14:paraId="5A8C9032" w14:textId="710029BA" w:rsidR="00816C15" w:rsidRDefault="00816C15" w:rsidP="00816C15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On February 1, 2021, SCE submitted Advice </w:t>
      </w:r>
      <w:r w:rsidR="00B9215D">
        <w:rPr>
          <w:rFonts w:ascii="Century Gothic" w:hAnsi="Century Gothic" w:cs="Calibri"/>
        </w:rPr>
        <w:t xml:space="preserve">Letters </w:t>
      </w:r>
      <w:r>
        <w:rPr>
          <w:rFonts w:ascii="Century Gothic" w:hAnsi="Century Gothic" w:cs="Calibri"/>
        </w:rPr>
        <w:t>4406-E and 4408-E to fund the Stimulus Program. As discussed in Advice 4408-E, SCE will recover 2021 Stimulus Program funding through its public purpose program charge rate levels beginning with the June 1, 2021 consolidated rate change.</w:t>
      </w:r>
    </w:p>
    <w:p w14:paraId="48E2955B" w14:textId="77777777" w:rsidR="00816C15" w:rsidRPr="00844C8D" w:rsidRDefault="00816C15" w:rsidP="00816C15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  <w:b/>
          <w:bCs/>
        </w:rPr>
      </w:pPr>
      <w:r w:rsidRPr="00844C8D">
        <w:rPr>
          <w:rFonts w:ascii="Century Gothic" w:hAnsi="Century Gothic" w:cs="Calibri"/>
          <w:b/>
          <w:bCs/>
        </w:rPr>
        <w:t>Recovery Bonds ($19.435 million)</w:t>
      </w:r>
    </w:p>
    <w:p w14:paraId="3788B294" w14:textId="56D3BD08" w:rsidR="00816C15" w:rsidRDefault="00816C15" w:rsidP="00816C15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 w:rsidRPr="77DA638A">
        <w:rPr>
          <w:rFonts w:ascii="Century Gothic" w:hAnsi="Century Gothic" w:cs="Calibri"/>
        </w:rPr>
        <w:t xml:space="preserve">On November 5, 2020, the CPUC issued a Financing Order </w:t>
      </w:r>
      <w:r w:rsidR="00B9215D" w:rsidRPr="77DA638A">
        <w:rPr>
          <w:rFonts w:ascii="Century Gothic" w:hAnsi="Century Gothic" w:cs="Calibri"/>
        </w:rPr>
        <w:t>granting</w:t>
      </w:r>
      <w:r w:rsidRPr="77DA638A">
        <w:rPr>
          <w:rFonts w:ascii="Century Gothic" w:hAnsi="Century Gothic" w:cs="Calibri"/>
        </w:rPr>
        <w:t xml:space="preserve"> SCE authority under AB 1054 and P</w:t>
      </w:r>
      <w:r w:rsidR="1D657D26" w:rsidRPr="77DA638A">
        <w:rPr>
          <w:rFonts w:ascii="Century Gothic" w:hAnsi="Century Gothic" w:cs="Calibri"/>
        </w:rPr>
        <w:t xml:space="preserve">ub. </w:t>
      </w:r>
      <w:r w:rsidRPr="77DA638A">
        <w:rPr>
          <w:rFonts w:ascii="Century Gothic" w:hAnsi="Century Gothic" w:cs="Calibri"/>
        </w:rPr>
        <w:t>U</w:t>
      </w:r>
      <w:r w:rsidR="69C48878" w:rsidRPr="77DA638A">
        <w:rPr>
          <w:rFonts w:ascii="Century Gothic" w:hAnsi="Century Gothic" w:cs="Calibri"/>
        </w:rPr>
        <w:t>til.</w:t>
      </w:r>
      <w:r w:rsidRPr="77DA638A">
        <w:rPr>
          <w:rFonts w:ascii="Century Gothic" w:hAnsi="Century Gothic" w:cs="Calibri"/>
        </w:rPr>
        <w:t xml:space="preserve"> Code Section 850.1 to issue a recovery bond to finance its initial tranche of fire risk mitigation capital expenditures. </w:t>
      </w:r>
    </w:p>
    <w:p w14:paraId="1237AE89" w14:textId="77777777" w:rsidR="00816C15" w:rsidRDefault="00816C15" w:rsidP="00816C15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The initial Recovery Bonds will finance approximately $327 million of the total approved $1.575 billion of fire risk mitigation capital expenditures.</w:t>
      </w:r>
    </w:p>
    <w:p w14:paraId="7D2F7E48" w14:textId="02389630" w:rsidR="00816C15" w:rsidRDefault="003426E9" w:rsidP="00816C15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SCE submitted Advice</w:t>
      </w:r>
      <w:r w:rsidR="00322FDC">
        <w:rPr>
          <w:rFonts w:ascii="Century Gothic" w:hAnsi="Century Gothic" w:cs="Calibri"/>
        </w:rPr>
        <w:t xml:space="preserve"> Letter</w:t>
      </w:r>
      <w:r>
        <w:rPr>
          <w:rFonts w:ascii="Century Gothic" w:hAnsi="Century Gothic" w:cs="Calibri"/>
        </w:rPr>
        <w:t xml:space="preserve"> 4416-E </w:t>
      </w:r>
      <w:r w:rsidR="00322FDC">
        <w:rPr>
          <w:rFonts w:ascii="Century Gothic" w:hAnsi="Century Gothic" w:cs="Calibri"/>
        </w:rPr>
        <w:t>setting</w:t>
      </w:r>
      <w:r>
        <w:rPr>
          <w:rFonts w:ascii="Century Gothic" w:hAnsi="Century Gothic" w:cs="Calibri"/>
        </w:rPr>
        <w:t xml:space="preserve"> forth the final terms and pricing for the </w:t>
      </w:r>
      <w:r w:rsidR="00322FDC">
        <w:rPr>
          <w:rFonts w:ascii="Century Gothic" w:hAnsi="Century Gothic" w:cs="Calibri"/>
        </w:rPr>
        <w:t>bonds</w:t>
      </w:r>
      <w:r>
        <w:rPr>
          <w:rFonts w:ascii="Century Gothic" w:hAnsi="Century Gothic" w:cs="Calibri"/>
        </w:rPr>
        <w:t xml:space="preserve">, including using the cost allocation and rate design methodology and Fixed Recovery Charge cash flow formula to establish initial Fixed Recovery Charges. </w:t>
      </w:r>
    </w:p>
    <w:p w14:paraId="220C790F" w14:textId="00CCE5E7" w:rsidR="003426E9" w:rsidRPr="00113741" w:rsidRDefault="003426E9" w:rsidP="00816C15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The </w:t>
      </w:r>
      <w:r w:rsidR="004E05DA">
        <w:rPr>
          <w:rFonts w:ascii="Century Gothic" w:hAnsi="Century Gothic" w:cs="Calibri"/>
        </w:rPr>
        <w:t xml:space="preserve">$19.4 million </w:t>
      </w:r>
      <w:r w:rsidR="005D30E6">
        <w:rPr>
          <w:rFonts w:ascii="Century Gothic" w:hAnsi="Century Gothic" w:cs="Calibri"/>
        </w:rPr>
        <w:t xml:space="preserve">revenue </w:t>
      </w:r>
      <w:r>
        <w:rPr>
          <w:rFonts w:ascii="Century Gothic" w:hAnsi="Century Gothic" w:cs="Calibri"/>
        </w:rPr>
        <w:t xml:space="preserve">increase is associated with the Fixed Recovery Charges for the </w:t>
      </w:r>
      <w:r w:rsidR="005D30E6">
        <w:rPr>
          <w:rFonts w:ascii="Century Gothic" w:hAnsi="Century Gothic" w:cs="Calibri"/>
        </w:rPr>
        <w:t xml:space="preserve">bonds’ </w:t>
      </w:r>
      <w:r w:rsidR="000378E5">
        <w:rPr>
          <w:rFonts w:ascii="Century Gothic" w:hAnsi="Century Gothic" w:cs="Calibri"/>
        </w:rPr>
        <w:t>f</w:t>
      </w:r>
      <w:r>
        <w:rPr>
          <w:rFonts w:ascii="Century Gothic" w:hAnsi="Century Gothic" w:cs="Calibri"/>
        </w:rPr>
        <w:t xml:space="preserve">irst and </w:t>
      </w:r>
      <w:r w:rsidR="000378E5">
        <w:rPr>
          <w:rFonts w:ascii="Century Gothic" w:hAnsi="Century Gothic" w:cs="Calibri"/>
        </w:rPr>
        <w:t>s</w:t>
      </w:r>
      <w:r>
        <w:rPr>
          <w:rFonts w:ascii="Century Gothic" w:hAnsi="Century Gothic" w:cs="Calibri"/>
        </w:rPr>
        <w:t xml:space="preserve">econd </w:t>
      </w:r>
      <w:r w:rsidR="000378E5">
        <w:rPr>
          <w:rFonts w:ascii="Century Gothic" w:hAnsi="Century Gothic" w:cs="Calibri"/>
        </w:rPr>
        <w:t>p</w:t>
      </w:r>
      <w:r>
        <w:rPr>
          <w:rFonts w:ascii="Century Gothic" w:hAnsi="Century Gothic" w:cs="Calibri"/>
        </w:rPr>
        <w:t xml:space="preserve">ayment </w:t>
      </w:r>
      <w:r w:rsidR="000378E5">
        <w:rPr>
          <w:rFonts w:ascii="Century Gothic" w:hAnsi="Century Gothic" w:cs="Calibri"/>
        </w:rPr>
        <w:t>p</w:t>
      </w:r>
      <w:r>
        <w:rPr>
          <w:rFonts w:ascii="Century Gothic" w:hAnsi="Century Gothic" w:cs="Calibri"/>
        </w:rPr>
        <w:t xml:space="preserve">eriods. </w:t>
      </w:r>
    </w:p>
    <w:p w14:paraId="538CF350" w14:textId="77777777" w:rsidR="00F42785" w:rsidRDefault="00F42785" w:rsidP="00844C8D">
      <w:pPr>
        <w:pStyle w:val="ListParagraph"/>
        <w:spacing w:before="140"/>
        <w:ind w:left="1080" w:firstLine="0"/>
        <w:rPr>
          <w:rFonts w:ascii="Century Gothic" w:hAnsi="Century Gothic" w:cs="Calibri"/>
        </w:rPr>
      </w:pPr>
    </w:p>
    <w:p w14:paraId="615F2D1C" w14:textId="69B11CE8" w:rsidR="00E3467E" w:rsidRDefault="00AF56A6" w:rsidP="00E3467E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In addit</w:t>
      </w:r>
      <w:r w:rsidR="009E7197">
        <w:rPr>
          <w:rFonts w:ascii="Century Gothic" w:hAnsi="Century Gothic" w:cs="Calibri"/>
        </w:rPr>
        <w:t>ion</w:t>
      </w:r>
      <w:r>
        <w:rPr>
          <w:rFonts w:ascii="Century Gothic" w:hAnsi="Century Gothic" w:cs="Calibri"/>
        </w:rPr>
        <w:t xml:space="preserve">, </w:t>
      </w:r>
      <w:r w:rsidR="009E7197">
        <w:rPr>
          <w:rFonts w:ascii="Century Gothic" w:hAnsi="Century Gothic" w:cs="Calibri"/>
        </w:rPr>
        <w:t>t</w:t>
      </w:r>
      <w:r>
        <w:rPr>
          <w:rFonts w:ascii="Century Gothic" w:hAnsi="Century Gothic" w:cs="Calibri"/>
        </w:rPr>
        <w:t xml:space="preserve">he following items </w:t>
      </w:r>
      <w:r w:rsidR="009E2F02">
        <w:rPr>
          <w:rFonts w:ascii="Century Gothic" w:hAnsi="Century Gothic" w:cs="Calibri"/>
        </w:rPr>
        <w:t xml:space="preserve">result in </w:t>
      </w:r>
      <w:r w:rsidR="00951B89">
        <w:rPr>
          <w:rFonts w:ascii="Century Gothic" w:hAnsi="Century Gothic" w:cs="Calibri"/>
        </w:rPr>
        <w:t xml:space="preserve">revenue </w:t>
      </w:r>
      <w:r w:rsidR="009E7197">
        <w:rPr>
          <w:rFonts w:ascii="Century Gothic" w:hAnsi="Century Gothic" w:cs="Calibri"/>
        </w:rPr>
        <w:t>decrease</w:t>
      </w:r>
      <w:r w:rsidR="00951B89">
        <w:rPr>
          <w:rFonts w:ascii="Century Gothic" w:hAnsi="Century Gothic" w:cs="Calibri"/>
        </w:rPr>
        <w:t>s</w:t>
      </w:r>
      <w:r w:rsidR="009E7197">
        <w:rPr>
          <w:rFonts w:ascii="Century Gothic" w:hAnsi="Century Gothic" w:cs="Calibri"/>
        </w:rPr>
        <w:t xml:space="preserve"> and </w:t>
      </w:r>
      <w:r>
        <w:rPr>
          <w:rFonts w:ascii="Century Gothic" w:hAnsi="Century Gothic" w:cs="Calibri"/>
        </w:rPr>
        <w:t xml:space="preserve">mitigate the increases described above:  </w:t>
      </w:r>
    </w:p>
    <w:p w14:paraId="1B527E57" w14:textId="77777777" w:rsidR="00400566" w:rsidRDefault="00E77F81" w:rsidP="00400566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 w:rsidRPr="25DC389E">
        <w:rPr>
          <w:rFonts w:ascii="Century Gothic" w:hAnsi="Century Gothic" w:cs="Calibri"/>
        </w:rPr>
        <w:t>2021 GRC Phase 1, Track 2 (A.19-08-031)</w:t>
      </w:r>
      <w:r w:rsidR="00194A88" w:rsidRPr="25DC389E">
        <w:rPr>
          <w:rFonts w:ascii="Century Gothic" w:hAnsi="Century Gothic" w:cs="Calibri"/>
        </w:rPr>
        <w:t xml:space="preserve"> </w:t>
      </w:r>
      <w:r w:rsidRPr="25DC389E">
        <w:rPr>
          <w:rFonts w:ascii="Century Gothic" w:hAnsi="Century Gothic" w:cs="Calibri"/>
        </w:rPr>
        <w:t xml:space="preserve">(AL 4412-E) </w:t>
      </w:r>
      <w:r w:rsidR="00FB6041" w:rsidRPr="25DC389E">
        <w:rPr>
          <w:rFonts w:ascii="Century Gothic" w:hAnsi="Century Gothic" w:cs="Calibri"/>
        </w:rPr>
        <w:t>(-$</w:t>
      </w:r>
      <w:r w:rsidRPr="25DC389E">
        <w:rPr>
          <w:rFonts w:ascii="Century Gothic" w:hAnsi="Century Gothic" w:cs="Calibri"/>
        </w:rPr>
        <w:t>9.7 million</w:t>
      </w:r>
      <w:r w:rsidR="00FB6041" w:rsidRPr="25DC389E">
        <w:rPr>
          <w:rFonts w:ascii="Century Gothic" w:hAnsi="Century Gothic" w:cs="Calibri"/>
        </w:rPr>
        <w:t>)</w:t>
      </w:r>
    </w:p>
    <w:p w14:paraId="2157DB20" w14:textId="529F7D3D" w:rsidR="3B97156B" w:rsidRDefault="3B97156B" w:rsidP="25DC389E">
      <w:pPr>
        <w:pStyle w:val="ListParagraph"/>
        <w:numPr>
          <w:ilvl w:val="2"/>
          <w:numId w:val="3"/>
        </w:numPr>
        <w:spacing w:before="140"/>
      </w:pPr>
      <w:r w:rsidRPr="25DC389E">
        <w:rPr>
          <w:rFonts w:ascii="Century Gothic" w:hAnsi="Century Gothic" w:cs="Calibri"/>
        </w:rPr>
        <w:t>Ratepayers received a $9.7 million credit due to ta</w:t>
      </w:r>
      <w:r w:rsidR="4C7B2BD9" w:rsidRPr="25DC389E">
        <w:rPr>
          <w:rFonts w:ascii="Century Gothic" w:hAnsi="Century Gothic" w:cs="Calibri"/>
        </w:rPr>
        <w:t>x adjustments.</w:t>
      </w:r>
    </w:p>
    <w:p w14:paraId="46C58A0D" w14:textId="2ECB99D4" w:rsidR="00E77F81" w:rsidRDefault="00E77F81" w:rsidP="00113741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 w:rsidRPr="25DC389E">
        <w:rPr>
          <w:rFonts w:ascii="Century Gothic" w:hAnsi="Century Gothic" w:cs="Calibri"/>
        </w:rPr>
        <w:t>Safety and Reliability Investment Incentive Mechanism</w:t>
      </w:r>
      <w:r w:rsidR="4E00C478" w:rsidRPr="25DC389E">
        <w:rPr>
          <w:rFonts w:ascii="Century Gothic" w:hAnsi="Century Gothic" w:cs="Calibri"/>
        </w:rPr>
        <w:t xml:space="preserve"> (SRIIM)</w:t>
      </w:r>
      <w:r w:rsidR="00161576" w:rsidRPr="25DC389E">
        <w:rPr>
          <w:rFonts w:ascii="Century Gothic" w:hAnsi="Century Gothic" w:cs="Calibri"/>
        </w:rPr>
        <w:t xml:space="preserve"> (AL 4442-E) (-$27.627 million)</w:t>
      </w:r>
    </w:p>
    <w:p w14:paraId="6E69AC21" w14:textId="0B1D9902" w:rsidR="32B16931" w:rsidRDefault="32B16931" w:rsidP="25DC389E">
      <w:pPr>
        <w:pStyle w:val="ListParagraph"/>
        <w:numPr>
          <w:ilvl w:val="2"/>
          <w:numId w:val="3"/>
        </w:numPr>
        <w:spacing w:before="140"/>
      </w:pPr>
      <w:r w:rsidRPr="25DC389E">
        <w:rPr>
          <w:rFonts w:ascii="Century Gothic" w:hAnsi="Century Gothic" w:cs="Calibri"/>
        </w:rPr>
        <w:t xml:space="preserve">SCE’s Preliminary Statement Part LL requires SCE </w:t>
      </w:r>
      <w:r w:rsidR="6DF865B2" w:rsidRPr="25DC389E">
        <w:rPr>
          <w:rFonts w:ascii="Century Gothic" w:hAnsi="Century Gothic" w:cs="Calibri"/>
        </w:rPr>
        <w:t xml:space="preserve">to </w:t>
      </w:r>
      <w:r w:rsidRPr="25DC389E">
        <w:rPr>
          <w:rFonts w:ascii="Century Gothic" w:hAnsi="Century Gothic" w:cs="Calibri"/>
        </w:rPr>
        <w:t xml:space="preserve">report and refund </w:t>
      </w:r>
      <w:r w:rsidR="6B161C8A" w:rsidRPr="25DC389E">
        <w:rPr>
          <w:rFonts w:ascii="Century Gothic" w:hAnsi="Century Gothic" w:cs="Calibri"/>
        </w:rPr>
        <w:t>the</w:t>
      </w:r>
      <w:r w:rsidR="7413B45D" w:rsidRPr="25DC389E">
        <w:rPr>
          <w:rFonts w:ascii="Century Gothic" w:hAnsi="Century Gothic" w:cs="Calibri"/>
        </w:rPr>
        <w:t xml:space="preserve"> authorized</w:t>
      </w:r>
      <w:r w:rsidR="6B161C8A" w:rsidRPr="25DC389E">
        <w:rPr>
          <w:rFonts w:ascii="Century Gothic" w:hAnsi="Century Gothic" w:cs="Calibri"/>
        </w:rPr>
        <w:t xml:space="preserve"> SRIIM capital additions that exceed </w:t>
      </w:r>
      <w:r w:rsidR="1ED10892" w:rsidRPr="25DC389E">
        <w:rPr>
          <w:rFonts w:ascii="Century Gothic" w:hAnsi="Century Gothic" w:cs="Calibri"/>
        </w:rPr>
        <w:t xml:space="preserve">the </w:t>
      </w:r>
      <w:r w:rsidR="44F0AF0C" w:rsidRPr="25DC389E">
        <w:rPr>
          <w:rFonts w:ascii="Century Gothic" w:hAnsi="Century Gothic" w:cs="Calibri"/>
        </w:rPr>
        <w:t>adjusted recorded SRIIM additions</w:t>
      </w:r>
      <w:r w:rsidR="3C4B5E98" w:rsidRPr="25DC389E">
        <w:rPr>
          <w:rFonts w:ascii="Century Gothic" w:hAnsi="Century Gothic" w:cs="Calibri"/>
        </w:rPr>
        <w:t xml:space="preserve"> for calendar years 2018-2020</w:t>
      </w:r>
      <w:r w:rsidR="44F0AF0C" w:rsidRPr="25DC389E">
        <w:rPr>
          <w:rFonts w:ascii="Century Gothic" w:hAnsi="Century Gothic" w:cs="Calibri"/>
        </w:rPr>
        <w:t xml:space="preserve">. </w:t>
      </w:r>
    </w:p>
    <w:p w14:paraId="33105644" w14:textId="0A5B91B5" w:rsidR="44F0AF0C" w:rsidRDefault="44F0AF0C" w:rsidP="25DC389E">
      <w:pPr>
        <w:pStyle w:val="ListParagraph"/>
        <w:numPr>
          <w:ilvl w:val="2"/>
          <w:numId w:val="3"/>
        </w:numPr>
        <w:spacing w:before="140"/>
      </w:pPr>
      <w:r w:rsidRPr="25DC389E">
        <w:rPr>
          <w:rFonts w:ascii="Century Gothic" w:hAnsi="Century Gothic" w:cs="Calibri"/>
        </w:rPr>
        <w:t xml:space="preserve">The </w:t>
      </w:r>
      <w:r w:rsidR="35B87546" w:rsidRPr="25DC389E">
        <w:rPr>
          <w:rFonts w:ascii="Century Gothic" w:hAnsi="Century Gothic" w:cs="Calibri"/>
        </w:rPr>
        <w:t xml:space="preserve">excess </w:t>
      </w:r>
      <w:r w:rsidRPr="25DC389E">
        <w:rPr>
          <w:rFonts w:ascii="Century Gothic" w:hAnsi="Century Gothic" w:cs="Calibri"/>
        </w:rPr>
        <w:t xml:space="preserve">amount of $21.627 million will be credited to </w:t>
      </w:r>
      <w:r w:rsidR="17B48601" w:rsidRPr="25DC389E">
        <w:rPr>
          <w:rFonts w:ascii="Century Gothic" w:hAnsi="Century Gothic" w:cs="Calibri"/>
        </w:rPr>
        <w:t xml:space="preserve">ratepayers through </w:t>
      </w:r>
      <w:r w:rsidRPr="25DC389E">
        <w:rPr>
          <w:rFonts w:ascii="Century Gothic" w:hAnsi="Century Gothic" w:cs="Calibri"/>
        </w:rPr>
        <w:t>th</w:t>
      </w:r>
      <w:r w:rsidR="3F019435" w:rsidRPr="25DC389E">
        <w:rPr>
          <w:rFonts w:ascii="Century Gothic" w:hAnsi="Century Gothic" w:cs="Calibri"/>
        </w:rPr>
        <w:t xml:space="preserve">e distribution sub-account of the Base Revenue Requirement Balancing Account. </w:t>
      </w:r>
    </w:p>
    <w:p w14:paraId="234DE247" w14:textId="4AAED2D0" w:rsidR="00161576" w:rsidRDefault="00161576" w:rsidP="00113741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Demand Response Programs as part of the 2021 EE budget request revenue requirement (AL 4285-E) (-$0.194 million)</w:t>
      </w:r>
    </w:p>
    <w:p w14:paraId="78275576" w14:textId="69E6B312" w:rsidR="00BB2F63" w:rsidRPr="008B3496" w:rsidRDefault="00161576" w:rsidP="001F2657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 w:rsidRPr="25DC389E">
        <w:rPr>
          <w:rFonts w:ascii="Century Gothic" w:hAnsi="Century Gothic" w:cs="Calibri"/>
        </w:rPr>
        <w:t>FERC Transmission Balancing Account (-$87.5 million)</w:t>
      </w:r>
      <w:r w:rsidR="001F2657" w:rsidRPr="25DC389E">
        <w:rPr>
          <w:rFonts w:ascii="Century Gothic" w:hAnsi="Century Gothic" w:cs="Calibri"/>
        </w:rPr>
        <w:t xml:space="preserve">. </w:t>
      </w:r>
    </w:p>
    <w:p w14:paraId="232337CD" w14:textId="1DE40757" w:rsidR="00BB2F63" w:rsidRPr="008B3496" w:rsidRDefault="001F2657" w:rsidP="25DC389E">
      <w:pPr>
        <w:pStyle w:val="ListParagraph"/>
        <w:numPr>
          <w:ilvl w:val="2"/>
          <w:numId w:val="3"/>
        </w:numPr>
        <w:spacing w:before="140"/>
      </w:pPr>
      <w:r w:rsidRPr="25DC389E">
        <w:rPr>
          <w:rFonts w:ascii="Century Gothic" w:hAnsi="Century Gothic" w:cs="Calibri"/>
        </w:rPr>
        <w:lastRenderedPageBreak/>
        <w:t xml:space="preserve">The revised FERC Transmission Access Charge </w:t>
      </w:r>
      <w:r w:rsidR="26340A47" w:rsidRPr="25DC389E">
        <w:rPr>
          <w:rFonts w:ascii="Century Gothic" w:hAnsi="Century Gothic" w:cs="Calibri"/>
        </w:rPr>
        <w:t xml:space="preserve">(TAC) </w:t>
      </w:r>
      <w:r w:rsidRPr="25DC389E">
        <w:rPr>
          <w:rFonts w:ascii="Century Gothic" w:hAnsi="Century Gothic" w:cs="Calibri"/>
        </w:rPr>
        <w:t xml:space="preserve">rate applicable to SCE’s end-use customers effective June 1, 2021 is $0.00315 per kilowatt-hour, decreased from $0.00419 per kilowatt-hour. </w:t>
      </w:r>
    </w:p>
    <w:p w14:paraId="7DEE7131" w14:textId="15A0692B" w:rsidR="00BB2F63" w:rsidRPr="008B3496" w:rsidRDefault="2663385E" w:rsidP="25DC389E">
      <w:pPr>
        <w:pStyle w:val="ListParagraph"/>
        <w:numPr>
          <w:ilvl w:val="2"/>
          <w:numId w:val="3"/>
        </w:numPr>
        <w:spacing w:before="140"/>
      </w:pPr>
      <w:r w:rsidRPr="25DC389E">
        <w:rPr>
          <w:rFonts w:ascii="Century Gothic" w:hAnsi="Century Gothic" w:cs="Calibri"/>
        </w:rPr>
        <w:t xml:space="preserve">This decrease in the TAC </w:t>
      </w:r>
      <w:r w:rsidR="282BCEE2" w:rsidRPr="25DC389E">
        <w:rPr>
          <w:rFonts w:ascii="Century Gothic" w:hAnsi="Century Gothic" w:cs="Calibri"/>
        </w:rPr>
        <w:t xml:space="preserve">rate is primarily due to a smaller </w:t>
      </w:r>
      <w:proofErr w:type="spellStart"/>
      <w:r w:rsidR="282BCEE2" w:rsidRPr="25DC389E">
        <w:rPr>
          <w:rFonts w:ascii="Century Gothic" w:hAnsi="Century Gothic" w:cs="Calibri"/>
        </w:rPr>
        <w:t>undercollection</w:t>
      </w:r>
      <w:proofErr w:type="spellEnd"/>
      <w:r w:rsidR="282BCEE2" w:rsidRPr="25DC389E">
        <w:rPr>
          <w:rFonts w:ascii="Century Gothic" w:hAnsi="Century Gothic" w:cs="Calibri"/>
        </w:rPr>
        <w:t xml:space="preserve"> balance in the TAC Balancing Account and a smaller CAISO </w:t>
      </w:r>
      <w:r w:rsidR="55E7F84F" w:rsidRPr="25DC389E">
        <w:rPr>
          <w:rFonts w:ascii="Century Gothic" w:hAnsi="Century Gothic" w:cs="Calibri"/>
        </w:rPr>
        <w:t>TAC net cost-shift.</w:t>
      </w:r>
    </w:p>
    <w:sectPr w:rsidR="00BB2F63" w:rsidRPr="008B3496" w:rsidSect="003436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B5AF37" w15:done="1"/>
  <w15:commentEx w15:paraId="49D41EC0" w15:paraIdParent="67B5AF37" w15:done="1"/>
  <w15:commentEx w15:paraId="328D706D" w15:done="1"/>
  <w15:commentEx w15:paraId="68D271A3" w15:done="1"/>
  <w15:commentEx w15:paraId="255FBFF2" w15:done="1"/>
  <w15:commentEx w15:paraId="676515D5" w15:paraIdParent="255FBFF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B5AF37" w16cid:durableId="0FAA8354"/>
  <w16cid:commentId w16cid:paraId="49D41EC0" w16cid:durableId="108C255D"/>
  <w16cid:commentId w16cid:paraId="328D706D" w16cid:durableId="1F790171"/>
  <w16cid:commentId w16cid:paraId="68D271A3" w16cid:durableId="7D94A4E3"/>
  <w16cid:commentId w16cid:paraId="255FBFF2" w16cid:durableId="057E4375"/>
  <w16cid:commentId w16cid:paraId="676515D5" w16cid:durableId="1CCC51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80790" w14:textId="77777777" w:rsidR="00274471" w:rsidRDefault="00274471">
      <w:r>
        <w:separator/>
      </w:r>
    </w:p>
    <w:p w14:paraId="5EC711E0" w14:textId="77777777" w:rsidR="00274471" w:rsidRDefault="00274471"/>
  </w:endnote>
  <w:endnote w:type="continuationSeparator" w:id="0">
    <w:p w14:paraId="73E05748" w14:textId="77777777" w:rsidR="00274471" w:rsidRDefault="00274471">
      <w:r>
        <w:continuationSeparator/>
      </w:r>
    </w:p>
    <w:p w14:paraId="00815E2B" w14:textId="77777777" w:rsidR="00274471" w:rsidRDefault="00274471"/>
  </w:endnote>
  <w:endnote w:type="continuationNotice" w:id="1">
    <w:p w14:paraId="5481387A" w14:textId="77777777" w:rsidR="00274471" w:rsidRDefault="00274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3E45E2" w14:textId="77777777" w:rsidR="00A42FDB" w:rsidRDefault="00274471" w:rsidP="00AA5D1C">
        <w:pPr>
          <w:pStyle w:val="Footer"/>
          <w:rPr>
            <w:rStyle w:val="PageNumber"/>
          </w:rPr>
        </w:pPr>
      </w:p>
    </w:sdtContent>
  </w:sdt>
  <w:p w14:paraId="300BD143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DF52D" w14:textId="462B98CE" w:rsidR="00A42FDB" w:rsidRPr="0034360A" w:rsidRDefault="00827978">
        <w:pPr>
          <w:pStyle w:val="Footer"/>
          <w:rPr>
            <w:rFonts w:ascii="Century Gothic" w:hAnsi="Century Gothic"/>
          </w:rPr>
        </w:pPr>
        <w:r w:rsidRPr="0034360A">
          <w:rPr>
            <w:rFonts w:ascii="Century Gothic" w:hAnsi="Century Gothic"/>
            <w:sz w:val="22"/>
            <w:szCs w:val="22"/>
          </w:rPr>
          <w:t>Rate Change</w:t>
        </w:r>
        <w:r w:rsidR="00A42FDB" w:rsidRPr="0034360A">
          <w:rPr>
            <w:rFonts w:ascii="Century Gothic" w:hAnsi="Century Gothic"/>
            <w:sz w:val="22"/>
            <w:szCs w:val="22"/>
          </w:rPr>
          <w:t xml:space="preserve"> Advisory </w:t>
        </w:r>
        <w:r w:rsidR="00A42FDB" w:rsidRPr="0034360A">
          <w:rPr>
            <w:rFonts w:ascii="Century Gothic" w:hAnsi="Century Gothic"/>
          </w:rPr>
          <w:t xml:space="preserve">| </w:t>
        </w:r>
        <w:r w:rsidR="00126173">
          <w:rPr>
            <w:rFonts w:ascii="Century Gothic" w:hAnsi="Century Gothic"/>
            <w:noProof/>
          </w:rPr>
          <w:t>4</w:t>
        </w:r>
      </w:p>
    </w:sdtContent>
  </w:sdt>
  <w:p w14:paraId="3C338016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72B40DD9" w14:textId="77777777" w:rsidR="00A42FDB" w:rsidRPr="0034360A" w:rsidRDefault="00A42FDB">
        <w:pPr>
          <w:pStyle w:val="Footer"/>
          <w:rPr>
            <w:rFonts w:ascii="Century Gothic" w:hAnsi="Century Gothic"/>
          </w:rPr>
        </w:pPr>
        <w:r w:rsidRPr="0034360A">
          <w:rPr>
            <w:rFonts w:ascii="Century Gothic" w:hAnsi="Century Gothic"/>
            <w:sz w:val="22"/>
            <w:szCs w:val="22"/>
          </w:rPr>
          <w:t xml:space="preserve">Rate </w:t>
        </w:r>
        <w:r w:rsidR="00255C41" w:rsidRPr="0034360A">
          <w:rPr>
            <w:rFonts w:ascii="Century Gothic" w:hAnsi="Century Gothic"/>
            <w:sz w:val="22"/>
            <w:szCs w:val="22"/>
          </w:rPr>
          <w:t>Change</w:t>
        </w:r>
        <w:r w:rsidRPr="0034360A">
          <w:rPr>
            <w:rFonts w:ascii="Century Gothic" w:hAnsi="Century Gothic"/>
            <w:sz w:val="22"/>
            <w:szCs w:val="22"/>
          </w:rPr>
          <w:t xml:space="preserve"> Advisory</w:t>
        </w:r>
        <w:r w:rsidRPr="0034360A">
          <w:rPr>
            <w:rFonts w:ascii="Century Gothic" w:hAnsi="Century Gothic"/>
          </w:rPr>
          <w:t xml:space="preserve"> | </w:t>
        </w:r>
        <w:r w:rsidR="003A410B" w:rsidRPr="0034360A">
          <w:rPr>
            <w:rFonts w:ascii="Century Gothic" w:hAnsi="Century Gothic"/>
            <w:noProof/>
          </w:rPr>
          <w:t>1</w:t>
        </w:r>
        <w:r w:rsidRPr="0034360A">
          <w:rPr>
            <w:rFonts w:ascii="Century Gothic" w:hAnsi="Century Gothic"/>
          </w:rPr>
          <w:t xml:space="preserve"> </w:t>
        </w:r>
      </w:p>
    </w:sdtContent>
  </w:sdt>
  <w:p w14:paraId="00843679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B5604" w14:textId="77777777" w:rsidR="00274471" w:rsidRDefault="00274471">
      <w:r>
        <w:separator/>
      </w:r>
    </w:p>
    <w:p w14:paraId="608FC2F9" w14:textId="77777777" w:rsidR="00274471" w:rsidRDefault="00274471"/>
  </w:footnote>
  <w:footnote w:type="continuationSeparator" w:id="0">
    <w:p w14:paraId="236C9DD4" w14:textId="77777777" w:rsidR="00274471" w:rsidRDefault="00274471">
      <w:r>
        <w:continuationSeparator/>
      </w:r>
    </w:p>
    <w:p w14:paraId="18EFA3D0" w14:textId="77777777" w:rsidR="00274471" w:rsidRDefault="00274471"/>
  </w:footnote>
  <w:footnote w:type="continuationNotice" w:id="1">
    <w:p w14:paraId="1976B0BB" w14:textId="77777777" w:rsidR="00274471" w:rsidRDefault="00274471"/>
  </w:footnote>
  <w:footnote w:id="2">
    <w:p w14:paraId="7F29E10B" w14:textId="77777777" w:rsidR="00A42FDB" w:rsidRPr="00960036" w:rsidRDefault="00A42FDB" w:rsidP="002164F7">
      <w:pPr>
        <w:pStyle w:val="FootnoteText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proofErr w:type="gramStart"/>
      <w:r w:rsidR="00EE5004">
        <w:rPr>
          <w:rFonts w:ascii="Century Gothic" w:hAnsi="Century Gothic"/>
          <w:sz w:val="22"/>
          <w:szCs w:val="22"/>
        </w:rPr>
        <w:t xml:space="preserve">Based on a </w:t>
      </w:r>
      <w:r w:rsidRPr="00960036">
        <w:rPr>
          <w:rFonts w:ascii="Century Gothic" w:hAnsi="Century Gothic"/>
          <w:sz w:val="22"/>
          <w:szCs w:val="22"/>
        </w:rPr>
        <w:t>typical</w:t>
      </w:r>
      <w:r w:rsidR="00354A4E" w:rsidRPr="00960036">
        <w:rPr>
          <w:rFonts w:ascii="Century Gothic" w:hAnsi="Century Gothic"/>
          <w:sz w:val="22"/>
          <w:szCs w:val="22"/>
        </w:rPr>
        <w:t xml:space="preserve"> residential </w:t>
      </w:r>
      <w:r w:rsidR="00861CBE">
        <w:rPr>
          <w:rFonts w:ascii="Century Gothic" w:hAnsi="Century Gothic"/>
          <w:sz w:val="22"/>
          <w:szCs w:val="22"/>
        </w:rPr>
        <w:t xml:space="preserve">bundled </w:t>
      </w:r>
      <w:r w:rsidR="00354A4E" w:rsidRPr="00960036">
        <w:rPr>
          <w:rFonts w:ascii="Century Gothic" w:hAnsi="Century Gothic"/>
          <w:sz w:val="22"/>
          <w:szCs w:val="22"/>
        </w:rPr>
        <w:t xml:space="preserve">customer using, on average, </w:t>
      </w:r>
      <w:r w:rsidR="004E1EB7">
        <w:rPr>
          <w:rFonts w:ascii="Century Gothic" w:hAnsi="Century Gothic"/>
          <w:sz w:val="22"/>
          <w:szCs w:val="22"/>
        </w:rPr>
        <w:t>500</w:t>
      </w:r>
      <w:r w:rsidRPr="00960036">
        <w:rPr>
          <w:rFonts w:ascii="Century Gothic" w:hAnsi="Century Gothic"/>
          <w:sz w:val="22"/>
          <w:szCs w:val="22"/>
        </w:rPr>
        <w:t xml:space="preserve"> kilowatt-hours per month.</w:t>
      </w:r>
      <w:proofErr w:type="gramEnd"/>
    </w:p>
  </w:footnote>
  <w:footnote w:id="3">
    <w:p w14:paraId="5FBA81E4" w14:textId="7A611D5D" w:rsidR="25DC389E" w:rsidRDefault="25DC389E" w:rsidP="25DC389E">
      <w:pPr>
        <w:pStyle w:val="FootnoteText"/>
        <w:rPr>
          <w:rFonts w:ascii="Century Gothic" w:eastAsia="Century Gothic" w:hAnsi="Century Gothic" w:cs="Century Gothic"/>
        </w:rPr>
      </w:pPr>
      <w:r w:rsidRPr="25DC389E">
        <w:rPr>
          <w:rStyle w:val="FootnoteReference"/>
          <w:rFonts w:ascii="Century Gothic" w:eastAsia="Century Gothic" w:hAnsi="Century Gothic" w:cs="Century Gothic"/>
        </w:rPr>
        <w:footnoteRef/>
      </w:r>
      <w:r w:rsidRPr="25DC389E">
        <w:rPr>
          <w:rFonts w:ascii="Century Gothic" w:eastAsia="Century Gothic" w:hAnsi="Century Gothic" w:cs="Century Gothic"/>
        </w:rPr>
        <w:t xml:space="preserve"> R.13-11-</w:t>
      </w:r>
      <w:proofErr w:type="gramStart"/>
      <w:r w:rsidRPr="25DC389E">
        <w:rPr>
          <w:rFonts w:ascii="Century Gothic" w:eastAsia="Century Gothic" w:hAnsi="Century Gothic" w:cs="Century Gothic"/>
        </w:rPr>
        <w:t>015,</w:t>
      </w:r>
      <w:proofErr w:type="gramEnd"/>
      <w:r w:rsidRPr="25DC389E">
        <w:rPr>
          <w:rFonts w:ascii="Century Gothic" w:eastAsia="Century Gothic" w:hAnsi="Century Gothic" w:cs="Century Gothic"/>
        </w:rPr>
        <w:t xml:space="preserve"> Amended Scoping Ruling Addressing Impacts of COVID-19, p. 8, July 3,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F0BF" w14:textId="77777777" w:rsidR="00126173" w:rsidRDefault="00126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0CECC416" w14:textId="77777777" w:rsidTr="77DA638A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3BF6C0EE" w14:textId="77777777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5A39A1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June 2021</w:t>
          </w:r>
        </w:p>
      </w:tc>
      <w:tc>
        <w:tcPr>
          <w:tcW w:w="6151" w:type="dxa"/>
          <w:shd w:val="clear" w:color="auto" w:fill="002060"/>
          <w:vAlign w:val="center"/>
        </w:tcPr>
        <w:p w14:paraId="04542BCD" w14:textId="77777777" w:rsidR="00A42FDB" w:rsidRPr="002C361D" w:rsidRDefault="005A39A1" w:rsidP="005A39A1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 ENERGY DIVISION</w:t>
          </w:r>
        </w:p>
      </w:tc>
      <w:tc>
        <w:tcPr>
          <w:tcW w:w="2691" w:type="dxa"/>
          <w:shd w:val="clear" w:color="auto" w:fill="002060"/>
        </w:tcPr>
        <w:p w14:paraId="2C2119F0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1" behindDoc="1" locked="0" layoutInCell="1" allowOverlap="1" wp14:anchorId="4615B49E" wp14:editId="49BEE744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22B46CC" w14:textId="77777777" w:rsidR="00A42FDB" w:rsidRPr="005179CC" w:rsidRDefault="00A42FDB" w:rsidP="005179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3F1C8A31" w14:textId="77777777" w:rsidTr="77DA638A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1F1BB231" w14:textId="77777777"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5A39A1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June</w:t>
          </w:r>
          <w:r w:rsidR="00E451FA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="00A26DF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2021</w:t>
          </w:r>
        </w:p>
      </w:tc>
      <w:tc>
        <w:tcPr>
          <w:tcW w:w="6151" w:type="dxa"/>
          <w:shd w:val="clear" w:color="auto" w:fill="002060"/>
          <w:vAlign w:val="center"/>
        </w:tcPr>
        <w:p w14:paraId="048FC59D" w14:textId="77777777"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14:paraId="1A9CDA46" w14:textId="77777777"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14:paraId="0E6E78CA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1" locked="0" layoutInCell="1" allowOverlap="1" wp14:anchorId="3BBAFBB0" wp14:editId="0F565C91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EE451B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664C1"/>
    <w:multiLevelType w:val="hybridMultilevel"/>
    <w:tmpl w:val="179E5F0C"/>
    <w:lvl w:ilvl="0" w:tplc="04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F2381"/>
    <w:multiLevelType w:val="hybridMultilevel"/>
    <w:tmpl w:val="880A6D52"/>
    <w:lvl w:ilvl="0" w:tplc="042EDB7A">
      <w:start w:val="19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C44DE"/>
    <w:multiLevelType w:val="hybridMultilevel"/>
    <w:tmpl w:val="6F860944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9414B0"/>
    <w:multiLevelType w:val="hybridMultilevel"/>
    <w:tmpl w:val="C97C144E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0B5345"/>
    <w:multiLevelType w:val="hybridMultilevel"/>
    <w:tmpl w:val="A95CD206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5849EC"/>
    <w:multiLevelType w:val="hybridMultilevel"/>
    <w:tmpl w:val="43964AE8"/>
    <w:lvl w:ilvl="0" w:tplc="0409000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203442"/>
    <w:multiLevelType w:val="hybridMultilevel"/>
    <w:tmpl w:val="27E613EA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735AE"/>
    <w:multiLevelType w:val="hybridMultilevel"/>
    <w:tmpl w:val="43629C6E"/>
    <w:lvl w:ilvl="0" w:tplc="A67EB8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611570"/>
    <w:multiLevelType w:val="hybridMultilevel"/>
    <w:tmpl w:val="4FE8E416"/>
    <w:lvl w:ilvl="0" w:tplc="04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81F61"/>
    <w:multiLevelType w:val="hybridMultilevel"/>
    <w:tmpl w:val="0A62BEEA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5C4E14"/>
    <w:multiLevelType w:val="hybridMultilevel"/>
    <w:tmpl w:val="32CAE182"/>
    <w:lvl w:ilvl="0" w:tplc="9AF09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642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4E69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CA3E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E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9C3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281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EEDE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243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9"/>
  </w:num>
  <w:num w:numId="5">
    <w:abstractNumId w:val="3"/>
  </w:num>
  <w:num w:numId="6">
    <w:abstractNumId w:val="16"/>
  </w:num>
  <w:num w:numId="7">
    <w:abstractNumId w:val="5"/>
  </w:num>
  <w:num w:numId="8">
    <w:abstractNumId w:val="7"/>
  </w:num>
  <w:num w:numId="9">
    <w:abstractNumId w:val="6"/>
  </w:num>
  <w:num w:numId="10">
    <w:abstractNumId w:val="14"/>
  </w:num>
  <w:num w:numId="11">
    <w:abstractNumId w:val="10"/>
  </w:num>
  <w:num w:numId="12">
    <w:abstractNumId w:val="15"/>
  </w:num>
  <w:num w:numId="13">
    <w:abstractNumId w:val="4"/>
  </w:num>
  <w:num w:numId="14">
    <w:abstractNumId w:val="13"/>
  </w:num>
  <w:num w:numId="15">
    <w:abstractNumId w:val="1"/>
  </w:num>
  <w:num w:numId="16">
    <w:abstractNumId w:val="8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5"/>
    <w:rsid w:val="00004E2F"/>
    <w:rsid w:val="00005738"/>
    <w:rsid w:val="000069E1"/>
    <w:rsid w:val="00010B27"/>
    <w:rsid w:val="000115F0"/>
    <w:rsid w:val="00017089"/>
    <w:rsid w:val="00023054"/>
    <w:rsid w:val="00023A36"/>
    <w:rsid w:val="00024CF2"/>
    <w:rsid w:val="00025477"/>
    <w:rsid w:val="00025EEC"/>
    <w:rsid w:val="00026904"/>
    <w:rsid w:val="00026B38"/>
    <w:rsid w:val="00027DF1"/>
    <w:rsid w:val="00031903"/>
    <w:rsid w:val="0003222D"/>
    <w:rsid w:val="000327F4"/>
    <w:rsid w:val="00034FD9"/>
    <w:rsid w:val="000378E5"/>
    <w:rsid w:val="0003793B"/>
    <w:rsid w:val="00041AA7"/>
    <w:rsid w:val="00045CDD"/>
    <w:rsid w:val="0006665E"/>
    <w:rsid w:val="0007148B"/>
    <w:rsid w:val="000808F7"/>
    <w:rsid w:val="00082BD3"/>
    <w:rsid w:val="000858CE"/>
    <w:rsid w:val="000A298C"/>
    <w:rsid w:val="000A37E9"/>
    <w:rsid w:val="000A58EF"/>
    <w:rsid w:val="000C2172"/>
    <w:rsid w:val="000C4126"/>
    <w:rsid w:val="000D0C25"/>
    <w:rsid w:val="000D17D3"/>
    <w:rsid w:val="000D6E0B"/>
    <w:rsid w:val="000E3D03"/>
    <w:rsid w:val="00111CEF"/>
    <w:rsid w:val="00113741"/>
    <w:rsid w:val="0011533B"/>
    <w:rsid w:val="0012102F"/>
    <w:rsid w:val="001227B5"/>
    <w:rsid w:val="00126173"/>
    <w:rsid w:val="00130972"/>
    <w:rsid w:val="0013200C"/>
    <w:rsid w:val="00152406"/>
    <w:rsid w:val="00154274"/>
    <w:rsid w:val="00161576"/>
    <w:rsid w:val="00165273"/>
    <w:rsid w:val="00173FD2"/>
    <w:rsid w:val="001742DA"/>
    <w:rsid w:val="00176281"/>
    <w:rsid w:val="00181170"/>
    <w:rsid w:val="00190A44"/>
    <w:rsid w:val="00190AA4"/>
    <w:rsid w:val="001923C3"/>
    <w:rsid w:val="00194A88"/>
    <w:rsid w:val="00197C00"/>
    <w:rsid w:val="001A32D5"/>
    <w:rsid w:val="001B336F"/>
    <w:rsid w:val="001B6393"/>
    <w:rsid w:val="001D291E"/>
    <w:rsid w:val="001D6674"/>
    <w:rsid w:val="001D6CAE"/>
    <w:rsid w:val="001F2387"/>
    <w:rsid w:val="001F2657"/>
    <w:rsid w:val="001F7C6B"/>
    <w:rsid w:val="002005CC"/>
    <w:rsid w:val="002027EB"/>
    <w:rsid w:val="00205E15"/>
    <w:rsid w:val="00210772"/>
    <w:rsid w:val="00211A70"/>
    <w:rsid w:val="00211E52"/>
    <w:rsid w:val="00216078"/>
    <w:rsid w:val="002164F7"/>
    <w:rsid w:val="00220C86"/>
    <w:rsid w:val="0022257D"/>
    <w:rsid w:val="002255D7"/>
    <w:rsid w:val="00225BA9"/>
    <w:rsid w:val="0022639A"/>
    <w:rsid w:val="00226EBB"/>
    <w:rsid w:val="00227B7D"/>
    <w:rsid w:val="00231E14"/>
    <w:rsid w:val="0024182E"/>
    <w:rsid w:val="0024388B"/>
    <w:rsid w:val="00244F7D"/>
    <w:rsid w:val="00246859"/>
    <w:rsid w:val="00247273"/>
    <w:rsid w:val="00247CD5"/>
    <w:rsid w:val="00247F2E"/>
    <w:rsid w:val="00250C3A"/>
    <w:rsid w:val="00255C41"/>
    <w:rsid w:val="002604B0"/>
    <w:rsid w:val="00264F19"/>
    <w:rsid w:val="00274471"/>
    <w:rsid w:val="0027768E"/>
    <w:rsid w:val="002826A9"/>
    <w:rsid w:val="0029088B"/>
    <w:rsid w:val="00297C7C"/>
    <w:rsid w:val="002A2068"/>
    <w:rsid w:val="002A2DE6"/>
    <w:rsid w:val="002A41E4"/>
    <w:rsid w:val="002A470B"/>
    <w:rsid w:val="002A770B"/>
    <w:rsid w:val="002B32F2"/>
    <w:rsid w:val="002B55CB"/>
    <w:rsid w:val="002B5F83"/>
    <w:rsid w:val="002C361D"/>
    <w:rsid w:val="002C4428"/>
    <w:rsid w:val="002D55E3"/>
    <w:rsid w:val="002F6940"/>
    <w:rsid w:val="00304420"/>
    <w:rsid w:val="00313C67"/>
    <w:rsid w:val="003148B3"/>
    <w:rsid w:val="00322C4F"/>
    <w:rsid w:val="00322FDC"/>
    <w:rsid w:val="0032676E"/>
    <w:rsid w:val="00326C15"/>
    <w:rsid w:val="0032777C"/>
    <w:rsid w:val="00331A8E"/>
    <w:rsid w:val="00332952"/>
    <w:rsid w:val="003373DE"/>
    <w:rsid w:val="003426E9"/>
    <w:rsid w:val="0034360A"/>
    <w:rsid w:val="0035260C"/>
    <w:rsid w:val="00353BE3"/>
    <w:rsid w:val="00354A4E"/>
    <w:rsid w:val="0036029F"/>
    <w:rsid w:val="00365F78"/>
    <w:rsid w:val="00375A37"/>
    <w:rsid w:val="00383440"/>
    <w:rsid w:val="00390AC7"/>
    <w:rsid w:val="003A410B"/>
    <w:rsid w:val="003A5EDF"/>
    <w:rsid w:val="003B1368"/>
    <w:rsid w:val="003B4AAF"/>
    <w:rsid w:val="003B60EF"/>
    <w:rsid w:val="003C6E4E"/>
    <w:rsid w:val="003D265D"/>
    <w:rsid w:val="003D72D0"/>
    <w:rsid w:val="003E1C2B"/>
    <w:rsid w:val="003E2336"/>
    <w:rsid w:val="003E2AB6"/>
    <w:rsid w:val="003E350D"/>
    <w:rsid w:val="003E6280"/>
    <w:rsid w:val="003F19FF"/>
    <w:rsid w:val="003F497F"/>
    <w:rsid w:val="003F4BC7"/>
    <w:rsid w:val="00400566"/>
    <w:rsid w:val="0040086D"/>
    <w:rsid w:val="004041BA"/>
    <w:rsid w:val="004066B7"/>
    <w:rsid w:val="004109D4"/>
    <w:rsid w:val="00420AE1"/>
    <w:rsid w:val="00420D07"/>
    <w:rsid w:val="00421E5E"/>
    <w:rsid w:val="004308B1"/>
    <w:rsid w:val="00433148"/>
    <w:rsid w:val="00433B14"/>
    <w:rsid w:val="00433CE9"/>
    <w:rsid w:val="004430A4"/>
    <w:rsid w:val="00444D71"/>
    <w:rsid w:val="00456C4F"/>
    <w:rsid w:val="004576EC"/>
    <w:rsid w:val="00461218"/>
    <w:rsid w:val="004642EC"/>
    <w:rsid w:val="00467C49"/>
    <w:rsid w:val="004706BE"/>
    <w:rsid w:val="00474F83"/>
    <w:rsid w:val="00481E6D"/>
    <w:rsid w:val="00487649"/>
    <w:rsid w:val="00487DDA"/>
    <w:rsid w:val="004941D2"/>
    <w:rsid w:val="00497EB9"/>
    <w:rsid w:val="004A2C07"/>
    <w:rsid w:val="004A5B2E"/>
    <w:rsid w:val="004A69F1"/>
    <w:rsid w:val="004A7CEE"/>
    <w:rsid w:val="004A7E44"/>
    <w:rsid w:val="004B0515"/>
    <w:rsid w:val="004C5737"/>
    <w:rsid w:val="004E0384"/>
    <w:rsid w:val="004E05DA"/>
    <w:rsid w:val="004E154E"/>
    <w:rsid w:val="004E1EB7"/>
    <w:rsid w:val="004F0663"/>
    <w:rsid w:val="004F0FB0"/>
    <w:rsid w:val="004F467C"/>
    <w:rsid w:val="004F7B2B"/>
    <w:rsid w:val="00500A02"/>
    <w:rsid w:val="00504774"/>
    <w:rsid w:val="00506C17"/>
    <w:rsid w:val="00510E3C"/>
    <w:rsid w:val="0051222C"/>
    <w:rsid w:val="00512B1B"/>
    <w:rsid w:val="00513835"/>
    <w:rsid w:val="005179CC"/>
    <w:rsid w:val="0052226D"/>
    <w:rsid w:val="0052755A"/>
    <w:rsid w:val="00530D7C"/>
    <w:rsid w:val="00531FB3"/>
    <w:rsid w:val="0053241B"/>
    <w:rsid w:val="00532841"/>
    <w:rsid w:val="00532EA7"/>
    <w:rsid w:val="005363FD"/>
    <w:rsid w:val="005372D9"/>
    <w:rsid w:val="0054359F"/>
    <w:rsid w:val="00546A7D"/>
    <w:rsid w:val="005517C6"/>
    <w:rsid w:val="00552B0C"/>
    <w:rsid w:val="00567FFB"/>
    <w:rsid w:val="00571C5D"/>
    <w:rsid w:val="00575DCA"/>
    <w:rsid w:val="00575FEF"/>
    <w:rsid w:val="00577971"/>
    <w:rsid w:val="00583A04"/>
    <w:rsid w:val="0058CBA2"/>
    <w:rsid w:val="00590D03"/>
    <w:rsid w:val="00596E1D"/>
    <w:rsid w:val="005A10B8"/>
    <w:rsid w:val="005A39A1"/>
    <w:rsid w:val="005C4EC3"/>
    <w:rsid w:val="005D13A8"/>
    <w:rsid w:val="005D2EAB"/>
    <w:rsid w:val="005D30E6"/>
    <w:rsid w:val="005D43BE"/>
    <w:rsid w:val="005E07D0"/>
    <w:rsid w:val="005E4368"/>
    <w:rsid w:val="005F4F7C"/>
    <w:rsid w:val="00600EF0"/>
    <w:rsid w:val="006200CA"/>
    <w:rsid w:val="00640B0E"/>
    <w:rsid w:val="006431EF"/>
    <w:rsid w:val="00645B76"/>
    <w:rsid w:val="006465FE"/>
    <w:rsid w:val="006472E9"/>
    <w:rsid w:val="00661780"/>
    <w:rsid w:val="00664C8E"/>
    <w:rsid w:val="00670772"/>
    <w:rsid w:val="006720B2"/>
    <w:rsid w:val="00672C0F"/>
    <w:rsid w:val="0067331F"/>
    <w:rsid w:val="006747CF"/>
    <w:rsid w:val="00674A43"/>
    <w:rsid w:val="00680A0B"/>
    <w:rsid w:val="00680B26"/>
    <w:rsid w:val="0068112A"/>
    <w:rsid w:val="006817F9"/>
    <w:rsid w:val="00682BFD"/>
    <w:rsid w:val="006837AC"/>
    <w:rsid w:val="006927C5"/>
    <w:rsid w:val="00693FCB"/>
    <w:rsid w:val="006A05D6"/>
    <w:rsid w:val="006A6DD1"/>
    <w:rsid w:val="006B3518"/>
    <w:rsid w:val="006B41EE"/>
    <w:rsid w:val="006B7F07"/>
    <w:rsid w:val="006C73E5"/>
    <w:rsid w:val="006C7CCA"/>
    <w:rsid w:val="006D4605"/>
    <w:rsid w:val="006D5A7C"/>
    <w:rsid w:val="006D7FBD"/>
    <w:rsid w:val="006E283D"/>
    <w:rsid w:val="006E6E7A"/>
    <w:rsid w:val="006F186F"/>
    <w:rsid w:val="006F4F92"/>
    <w:rsid w:val="00704D6C"/>
    <w:rsid w:val="00714B95"/>
    <w:rsid w:val="00715879"/>
    <w:rsid w:val="00715E59"/>
    <w:rsid w:val="007213FF"/>
    <w:rsid w:val="00722F32"/>
    <w:rsid w:val="007337FB"/>
    <w:rsid w:val="007350FA"/>
    <w:rsid w:val="0073542E"/>
    <w:rsid w:val="00736959"/>
    <w:rsid w:val="00740A58"/>
    <w:rsid w:val="00744580"/>
    <w:rsid w:val="00747A77"/>
    <w:rsid w:val="00750033"/>
    <w:rsid w:val="007501A3"/>
    <w:rsid w:val="00751015"/>
    <w:rsid w:val="00754252"/>
    <w:rsid w:val="00754EBC"/>
    <w:rsid w:val="0075685A"/>
    <w:rsid w:val="00763AF7"/>
    <w:rsid w:val="00764CCE"/>
    <w:rsid w:val="007658B7"/>
    <w:rsid w:val="00770686"/>
    <w:rsid w:val="00774A18"/>
    <w:rsid w:val="00774E68"/>
    <w:rsid w:val="0077538E"/>
    <w:rsid w:val="007821A8"/>
    <w:rsid w:val="0078294C"/>
    <w:rsid w:val="00785260"/>
    <w:rsid w:val="007875CA"/>
    <w:rsid w:val="0079582D"/>
    <w:rsid w:val="00797A71"/>
    <w:rsid w:val="007A1E31"/>
    <w:rsid w:val="007A3BE1"/>
    <w:rsid w:val="007A4959"/>
    <w:rsid w:val="007B22E5"/>
    <w:rsid w:val="007B693A"/>
    <w:rsid w:val="007B6E1C"/>
    <w:rsid w:val="007C0FA4"/>
    <w:rsid w:val="007C4598"/>
    <w:rsid w:val="007E53BD"/>
    <w:rsid w:val="007F2297"/>
    <w:rsid w:val="007F4948"/>
    <w:rsid w:val="007F6FCF"/>
    <w:rsid w:val="007F735D"/>
    <w:rsid w:val="007F7E87"/>
    <w:rsid w:val="008028BD"/>
    <w:rsid w:val="00804A0B"/>
    <w:rsid w:val="00805C23"/>
    <w:rsid w:val="00816C15"/>
    <w:rsid w:val="00821BC9"/>
    <w:rsid w:val="00826202"/>
    <w:rsid w:val="00827978"/>
    <w:rsid w:val="00844C8D"/>
    <w:rsid w:val="0085067B"/>
    <w:rsid w:val="00851B27"/>
    <w:rsid w:val="00851DBB"/>
    <w:rsid w:val="00860A36"/>
    <w:rsid w:val="008611D6"/>
    <w:rsid w:val="00861CBE"/>
    <w:rsid w:val="00863057"/>
    <w:rsid w:val="0087708C"/>
    <w:rsid w:val="0088523A"/>
    <w:rsid w:val="00891314"/>
    <w:rsid w:val="0089340B"/>
    <w:rsid w:val="00894283"/>
    <w:rsid w:val="00895D9C"/>
    <w:rsid w:val="00896969"/>
    <w:rsid w:val="008A19CA"/>
    <w:rsid w:val="008A7DB0"/>
    <w:rsid w:val="008B3496"/>
    <w:rsid w:val="008B4F7C"/>
    <w:rsid w:val="008B4FB2"/>
    <w:rsid w:val="008B545E"/>
    <w:rsid w:val="008C068D"/>
    <w:rsid w:val="008D689E"/>
    <w:rsid w:val="008D69F9"/>
    <w:rsid w:val="008D6B5A"/>
    <w:rsid w:val="008F0EAE"/>
    <w:rsid w:val="008F3C57"/>
    <w:rsid w:val="009028CF"/>
    <w:rsid w:val="00904F9A"/>
    <w:rsid w:val="00906436"/>
    <w:rsid w:val="00906D2F"/>
    <w:rsid w:val="00907739"/>
    <w:rsid w:val="0091796E"/>
    <w:rsid w:val="0092082F"/>
    <w:rsid w:val="00923392"/>
    <w:rsid w:val="00951B89"/>
    <w:rsid w:val="00960036"/>
    <w:rsid w:val="00960614"/>
    <w:rsid w:val="00962953"/>
    <w:rsid w:val="009630B7"/>
    <w:rsid w:val="00980775"/>
    <w:rsid w:val="00981344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B612D"/>
    <w:rsid w:val="009B722E"/>
    <w:rsid w:val="009C08EA"/>
    <w:rsid w:val="009C1F06"/>
    <w:rsid w:val="009C3CFA"/>
    <w:rsid w:val="009C413D"/>
    <w:rsid w:val="009C489E"/>
    <w:rsid w:val="009C64BF"/>
    <w:rsid w:val="009C77F0"/>
    <w:rsid w:val="009E2F02"/>
    <w:rsid w:val="009E7197"/>
    <w:rsid w:val="009E73A1"/>
    <w:rsid w:val="009F2F79"/>
    <w:rsid w:val="009F37FD"/>
    <w:rsid w:val="00A04EDD"/>
    <w:rsid w:val="00A06274"/>
    <w:rsid w:val="00A100CA"/>
    <w:rsid w:val="00A118C0"/>
    <w:rsid w:val="00A12A44"/>
    <w:rsid w:val="00A13F4C"/>
    <w:rsid w:val="00A14F8E"/>
    <w:rsid w:val="00A21707"/>
    <w:rsid w:val="00A24FB2"/>
    <w:rsid w:val="00A26DF2"/>
    <w:rsid w:val="00A301CD"/>
    <w:rsid w:val="00A31DB8"/>
    <w:rsid w:val="00A33DC8"/>
    <w:rsid w:val="00A369FB"/>
    <w:rsid w:val="00A42FDB"/>
    <w:rsid w:val="00A47930"/>
    <w:rsid w:val="00A54A53"/>
    <w:rsid w:val="00A565BE"/>
    <w:rsid w:val="00A56964"/>
    <w:rsid w:val="00A64E58"/>
    <w:rsid w:val="00A807D7"/>
    <w:rsid w:val="00A86289"/>
    <w:rsid w:val="00A9325D"/>
    <w:rsid w:val="00A9594E"/>
    <w:rsid w:val="00AA1472"/>
    <w:rsid w:val="00AA279D"/>
    <w:rsid w:val="00AA5D1C"/>
    <w:rsid w:val="00AC13ED"/>
    <w:rsid w:val="00AC1900"/>
    <w:rsid w:val="00AC5C9F"/>
    <w:rsid w:val="00AC796F"/>
    <w:rsid w:val="00AD2B02"/>
    <w:rsid w:val="00AD5628"/>
    <w:rsid w:val="00AE3776"/>
    <w:rsid w:val="00AE3DC6"/>
    <w:rsid w:val="00AE4A56"/>
    <w:rsid w:val="00AE5D54"/>
    <w:rsid w:val="00AF08F7"/>
    <w:rsid w:val="00AF0AD6"/>
    <w:rsid w:val="00AF4F5C"/>
    <w:rsid w:val="00AF56A6"/>
    <w:rsid w:val="00AF7013"/>
    <w:rsid w:val="00AF79BC"/>
    <w:rsid w:val="00B02A4F"/>
    <w:rsid w:val="00B02C35"/>
    <w:rsid w:val="00B0539B"/>
    <w:rsid w:val="00B06589"/>
    <w:rsid w:val="00B12BBD"/>
    <w:rsid w:val="00B2335F"/>
    <w:rsid w:val="00B30AA1"/>
    <w:rsid w:val="00B3253B"/>
    <w:rsid w:val="00B32907"/>
    <w:rsid w:val="00B344BF"/>
    <w:rsid w:val="00B43F4E"/>
    <w:rsid w:val="00B458A6"/>
    <w:rsid w:val="00B5466F"/>
    <w:rsid w:val="00B55530"/>
    <w:rsid w:val="00B633D6"/>
    <w:rsid w:val="00B637B2"/>
    <w:rsid w:val="00B67CC1"/>
    <w:rsid w:val="00B72448"/>
    <w:rsid w:val="00B77B78"/>
    <w:rsid w:val="00B8063D"/>
    <w:rsid w:val="00B8732B"/>
    <w:rsid w:val="00B90CB9"/>
    <w:rsid w:val="00B9215D"/>
    <w:rsid w:val="00B9638F"/>
    <w:rsid w:val="00BA1AE6"/>
    <w:rsid w:val="00BB2F63"/>
    <w:rsid w:val="00BB3903"/>
    <w:rsid w:val="00BC591F"/>
    <w:rsid w:val="00BC713D"/>
    <w:rsid w:val="00BD1059"/>
    <w:rsid w:val="00BD2851"/>
    <w:rsid w:val="00BE17F2"/>
    <w:rsid w:val="00BE504C"/>
    <w:rsid w:val="00BF069C"/>
    <w:rsid w:val="00BF53B3"/>
    <w:rsid w:val="00BF5B47"/>
    <w:rsid w:val="00C011FD"/>
    <w:rsid w:val="00C03449"/>
    <w:rsid w:val="00C04068"/>
    <w:rsid w:val="00C06B83"/>
    <w:rsid w:val="00C154B4"/>
    <w:rsid w:val="00C21A02"/>
    <w:rsid w:val="00C3215A"/>
    <w:rsid w:val="00C3519B"/>
    <w:rsid w:val="00C459C9"/>
    <w:rsid w:val="00C47053"/>
    <w:rsid w:val="00C47A69"/>
    <w:rsid w:val="00C63C9B"/>
    <w:rsid w:val="00C67186"/>
    <w:rsid w:val="00C72375"/>
    <w:rsid w:val="00C72AE1"/>
    <w:rsid w:val="00C83FB0"/>
    <w:rsid w:val="00C84C80"/>
    <w:rsid w:val="00C85647"/>
    <w:rsid w:val="00C856A2"/>
    <w:rsid w:val="00C87F18"/>
    <w:rsid w:val="00C93620"/>
    <w:rsid w:val="00C97847"/>
    <w:rsid w:val="00CA1335"/>
    <w:rsid w:val="00CA2061"/>
    <w:rsid w:val="00CA65A7"/>
    <w:rsid w:val="00CA7021"/>
    <w:rsid w:val="00CB0735"/>
    <w:rsid w:val="00CB4F96"/>
    <w:rsid w:val="00CC0499"/>
    <w:rsid w:val="00CC5559"/>
    <w:rsid w:val="00CC6936"/>
    <w:rsid w:val="00CD3764"/>
    <w:rsid w:val="00CE1624"/>
    <w:rsid w:val="00CE19C8"/>
    <w:rsid w:val="00CF044A"/>
    <w:rsid w:val="00CF22CD"/>
    <w:rsid w:val="00CF4BB6"/>
    <w:rsid w:val="00CF5FEC"/>
    <w:rsid w:val="00D00D38"/>
    <w:rsid w:val="00D01D0F"/>
    <w:rsid w:val="00D10B02"/>
    <w:rsid w:val="00D12D57"/>
    <w:rsid w:val="00D13742"/>
    <w:rsid w:val="00D14A94"/>
    <w:rsid w:val="00D21AD4"/>
    <w:rsid w:val="00D25183"/>
    <w:rsid w:val="00D255A9"/>
    <w:rsid w:val="00D26DE7"/>
    <w:rsid w:val="00D31094"/>
    <w:rsid w:val="00D4000C"/>
    <w:rsid w:val="00D410D3"/>
    <w:rsid w:val="00D431B7"/>
    <w:rsid w:val="00D431EC"/>
    <w:rsid w:val="00D43747"/>
    <w:rsid w:val="00D44ED3"/>
    <w:rsid w:val="00D53687"/>
    <w:rsid w:val="00D636DC"/>
    <w:rsid w:val="00D6482E"/>
    <w:rsid w:val="00D64A9A"/>
    <w:rsid w:val="00D654D1"/>
    <w:rsid w:val="00D70E0E"/>
    <w:rsid w:val="00D72C83"/>
    <w:rsid w:val="00D73167"/>
    <w:rsid w:val="00D75B31"/>
    <w:rsid w:val="00D75EA1"/>
    <w:rsid w:val="00D80425"/>
    <w:rsid w:val="00D83727"/>
    <w:rsid w:val="00D85AE4"/>
    <w:rsid w:val="00D8684B"/>
    <w:rsid w:val="00D8720D"/>
    <w:rsid w:val="00D8745C"/>
    <w:rsid w:val="00D92D2C"/>
    <w:rsid w:val="00D93845"/>
    <w:rsid w:val="00D96F26"/>
    <w:rsid w:val="00DA1AA5"/>
    <w:rsid w:val="00DA2F3D"/>
    <w:rsid w:val="00DB21E0"/>
    <w:rsid w:val="00DB48E8"/>
    <w:rsid w:val="00DB7796"/>
    <w:rsid w:val="00DC1012"/>
    <w:rsid w:val="00DC2132"/>
    <w:rsid w:val="00DC65AD"/>
    <w:rsid w:val="00DC7C3E"/>
    <w:rsid w:val="00DD0AA0"/>
    <w:rsid w:val="00DD23FA"/>
    <w:rsid w:val="00DD577D"/>
    <w:rsid w:val="00DD7373"/>
    <w:rsid w:val="00DE00A6"/>
    <w:rsid w:val="00DE25E0"/>
    <w:rsid w:val="00DF4FD8"/>
    <w:rsid w:val="00DF5631"/>
    <w:rsid w:val="00E07248"/>
    <w:rsid w:val="00E15290"/>
    <w:rsid w:val="00E17ECA"/>
    <w:rsid w:val="00E2418F"/>
    <w:rsid w:val="00E27F02"/>
    <w:rsid w:val="00E30A95"/>
    <w:rsid w:val="00E32A59"/>
    <w:rsid w:val="00E3304B"/>
    <w:rsid w:val="00E33B56"/>
    <w:rsid w:val="00E3467E"/>
    <w:rsid w:val="00E44676"/>
    <w:rsid w:val="00E451FA"/>
    <w:rsid w:val="00E46AC1"/>
    <w:rsid w:val="00E52732"/>
    <w:rsid w:val="00E5326B"/>
    <w:rsid w:val="00E56657"/>
    <w:rsid w:val="00E57E1A"/>
    <w:rsid w:val="00E62C26"/>
    <w:rsid w:val="00E62EB2"/>
    <w:rsid w:val="00E64305"/>
    <w:rsid w:val="00E74DCD"/>
    <w:rsid w:val="00E767CC"/>
    <w:rsid w:val="00E77F81"/>
    <w:rsid w:val="00E81868"/>
    <w:rsid w:val="00E97440"/>
    <w:rsid w:val="00E97705"/>
    <w:rsid w:val="00E97749"/>
    <w:rsid w:val="00EA38F3"/>
    <w:rsid w:val="00EB545D"/>
    <w:rsid w:val="00EB68DB"/>
    <w:rsid w:val="00EB6CA7"/>
    <w:rsid w:val="00EC1BE5"/>
    <w:rsid w:val="00EC2501"/>
    <w:rsid w:val="00EC65F4"/>
    <w:rsid w:val="00EC7526"/>
    <w:rsid w:val="00ED1B8A"/>
    <w:rsid w:val="00EE008F"/>
    <w:rsid w:val="00EE1405"/>
    <w:rsid w:val="00EE5004"/>
    <w:rsid w:val="00EE514E"/>
    <w:rsid w:val="00EE5D73"/>
    <w:rsid w:val="00EF5FB4"/>
    <w:rsid w:val="00EF6BD5"/>
    <w:rsid w:val="00F114D0"/>
    <w:rsid w:val="00F12819"/>
    <w:rsid w:val="00F15474"/>
    <w:rsid w:val="00F22537"/>
    <w:rsid w:val="00F26A84"/>
    <w:rsid w:val="00F27C93"/>
    <w:rsid w:val="00F319C3"/>
    <w:rsid w:val="00F37C73"/>
    <w:rsid w:val="00F42785"/>
    <w:rsid w:val="00F4705B"/>
    <w:rsid w:val="00F4739A"/>
    <w:rsid w:val="00F50C4F"/>
    <w:rsid w:val="00F527DD"/>
    <w:rsid w:val="00F52A15"/>
    <w:rsid w:val="00F54152"/>
    <w:rsid w:val="00F622E1"/>
    <w:rsid w:val="00F64336"/>
    <w:rsid w:val="00F65E84"/>
    <w:rsid w:val="00F67D94"/>
    <w:rsid w:val="00F73E29"/>
    <w:rsid w:val="00F75E58"/>
    <w:rsid w:val="00F7758E"/>
    <w:rsid w:val="00F84840"/>
    <w:rsid w:val="00F85BA0"/>
    <w:rsid w:val="00F8668D"/>
    <w:rsid w:val="00F97A4E"/>
    <w:rsid w:val="00FA5ED0"/>
    <w:rsid w:val="00FA7045"/>
    <w:rsid w:val="00FB198C"/>
    <w:rsid w:val="00FB1BB6"/>
    <w:rsid w:val="00FB2714"/>
    <w:rsid w:val="00FB6041"/>
    <w:rsid w:val="00FC26E6"/>
    <w:rsid w:val="00FC571D"/>
    <w:rsid w:val="00FD079D"/>
    <w:rsid w:val="00FD2CED"/>
    <w:rsid w:val="00FD3A7D"/>
    <w:rsid w:val="00FD4D9F"/>
    <w:rsid w:val="00FD79C7"/>
    <w:rsid w:val="00FE0115"/>
    <w:rsid w:val="00FE18AB"/>
    <w:rsid w:val="00FE1F46"/>
    <w:rsid w:val="00FE2136"/>
    <w:rsid w:val="00FE3ACD"/>
    <w:rsid w:val="00FF2812"/>
    <w:rsid w:val="00FF32B6"/>
    <w:rsid w:val="0172C13E"/>
    <w:rsid w:val="01789DB7"/>
    <w:rsid w:val="01A6311F"/>
    <w:rsid w:val="02966D37"/>
    <w:rsid w:val="02A2F622"/>
    <w:rsid w:val="03337C08"/>
    <w:rsid w:val="0554C34B"/>
    <w:rsid w:val="063EAA7D"/>
    <w:rsid w:val="08439C18"/>
    <w:rsid w:val="086306FB"/>
    <w:rsid w:val="08D4DF09"/>
    <w:rsid w:val="099B4869"/>
    <w:rsid w:val="09EF301C"/>
    <w:rsid w:val="0A34270B"/>
    <w:rsid w:val="0A936875"/>
    <w:rsid w:val="0AF2AA29"/>
    <w:rsid w:val="0C4A51D7"/>
    <w:rsid w:val="0C90B8DE"/>
    <w:rsid w:val="0CE14277"/>
    <w:rsid w:val="0CE629D5"/>
    <w:rsid w:val="0D170D3B"/>
    <w:rsid w:val="0F4DCD61"/>
    <w:rsid w:val="0FC716E5"/>
    <w:rsid w:val="101B73EA"/>
    <w:rsid w:val="1030452E"/>
    <w:rsid w:val="10EEB872"/>
    <w:rsid w:val="11EA7E5E"/>
    <w:rsid w:val="1298F906"/>
    <w:rsid w:val="130D8645"/>
    <w:rsid w:val="134EEA2C"/>
    <w:rsid w:val="1387029A"/>
    <w:rsid w:val="13F4F064"/>
    <w:rsid w:val="14504EE8"/>
    <w:rsid w:val="14BD7D01"/>
    <w:rsid w:val="14C7A907"/>
    <w:rsid w:val="16181DF2"/>
    <w:rsid w:val="166F489C"/>
    <w:rsid w:val="167914F5"/>
    <w:rsid w:val="16B4EA91"/>
    <w:rsid w:val="16BDEF81"/>
    <w:rsid w:val="173D070F"/>
    <w:rsid w:val="17B48601"/>
    <w:rsid w:val="17F1F4D6"/>
    <w:rsid w:val="1870B616"/>
    <w:rsid w:val="195D2C50"/>
    <w:rsid w:val="19AB8480"/>
    <w:rsid w:val="1A8A3EFE"/>
    <w:rsid w:val="1A93EC96"/>
    <w:rsid w:val="1B89F523"/>
    <w:rsid w:val="1CCC26C8"/>
    <w:rsid w:val="1D4F1CD0"/>
    <w:rsid w:val="1D657D26"/>
    <w:rsid w:val="1E08BA86"/>
    <w:rsid w:val="1E120FE7"/>
    <w:rsid w:val="1E7C077E"/>
    <w:rsid w:val="1ED10892"/>
    <w:rsid w:val="1F8F0524"/>
    <w:rsid w:val="202EA25C"/>
    <w:rsid w:val="21E1160D"/>
    <w:rsid w:val="225CB2C8"/>
    <w:rsid w:val="230E613C"/>
    <w:rsid w:val="23E7FDD3"/>
    <w:rsid w:val="2432E90F"/>
    <w:rsid w:val="24F84726"/>
    <w:rsid w:val="25951CD8"/>
    <w:rsid w:val="25BB4B32"/>
    <w:rsid w:val="25DC389E"/>
    <w:rsid w:val="25F8C037"/>
    <w:rsid w:val="2606BE3B"/>
    <w:rsid w:val="26247FD1"/>
    <w:rsid w:val="26340A47"/>
    <w:rsid w:val="2663385E"/>
    <w:rsid w:val="26F8765C"/>
    <w:rsid w:val="282BCEE2"/>
    <w:rsid w:val="2865C1E7"/>
    <w:rsid w:val="2877D132"/>
    <w:rsid w:val="288DD9FC"/>
    <w:rsid w:val="290A08F5"/>
    <w:rsid w:val="292FC981"/>
    <w:rsid w:val="2C94383D"/>
    <w:rsid w:val="2CDAC1D8"/>
    <w:rsid w:val="2D2DD03B"/>
    <w:rsid w:val="2D9C98E5"/>
    <w:rsid w:val="3069BABA"/>
    <w:rsid w:val="31A5AFFE"/>
    <w:rsid w:val="3218344D"/>
    <w:rsid w:val="32B16931"/>
    <w:rsid w:val="33825B35"/>
    <w:rsid w:val="33F44FA6"/>
    <w:rsid w:val="35B87546"/>
    <w:rsid w:val="36094A64"/>
    <w:rsid w:val="365F9C4C"/>
    <w:rsid w:val="371DD287"/>
    <w:rsid w:val="3896EF71"/>
    <w:rsid w:val="391F2FF3"/>
    <w:rsid w:val="39C15EA3"/>
    <w:rsid w:val="3A065592"/>
    <w:rsid w:val="3B97156B"/>
    <w:rsid w:val="3C4B5E98"/>
    <w:rsid w:val="3D8BEF60"/>
    <w:rsid w:val="3E059E79"/>
    <w:rsid w:val="3E29CA9C"/>
    <w:rsid w:val="3E4A2A89"/>
    <w:rsid w:val="3F019435"/>
    <w:rsid w:val="3F283EDE"/>
    <w:rsid w:val="40A132D7"/>
    <w:rsid w:val="40CB9409"/>
    <w:rsid w:val="419262FC"/>
    <w:rsid w:val="44F0AF0C"/>
    <w:rsid w:val="4604988C"/>
    <w:rsid w:val="4678AC39"/>
    <w:rsid w:val="4681C95D"/>
    <w:rsid w:val="46A79B3B"/>
    <w:rsid w:val="46B28C16"/>
    <w:rsid w:val="4866780C"/>
    <w:rsid w:val="48C30D37"/>
    <w:rsid w:val="4A4A8C63"/>
    <w:rsid w:val="4AD077FA"/>
    <w:rsid w:val="4B357C1F"/>
    <w:rsid w:val="4B65F003"/>
    <w:rsid w:val="4BAAE6F2"/>
    <w:rsid w:val="4C7B2BD9"/>
    <w:rsid w:val="4CDA5ECB"/>
    <w:rsid w:val="4E00C478"/>
    <w:rsid w:val="4EAD6AD6"/>
    <w:rsid w:val="4EEAB4D0"/>
    <w:rsid w:val="4FCB1C8D"/>
    <w:rsid w:val="502B791B"/>
    <w:rsid w:val="51893FEC"/>
    <w:rsid w:val="51C1E20F"/>
    <w:rsid w:val="520D99B0"/>
    <w:rsid w:val="52B229FD"/>
    <w:rsid w:val="5368E28C"/>
    <w:rsid w:val="53E25EE1"/>
    <w:rsid w:val="54B71D70"/>
    <w:rsid w:val="54B7443E"/>
    <w:rsid w:val="54B95777"/>
    <w:rsid w:val="54F8C17A"/>
    <w:rsid w:val="54FE4E66"/>
    <w:rsid w:val="55E17892"/>
    <w:rsid w:val="55E7F84F"/>
    <w:rsid w:val="565AF4E7"/>
    <w:rsid w:val="59469A81"/>
    <w:rsid w:val="5960B03C"/>
    <w:rsid w:val="59839C4F"/>
    <w:rsid w:val="5A6F15AB"/>
    <w:rsid w:val="5BE5516A"/>
    <w:rsid w:val="5CD54246"/>
    <w:rsid w:val="5D8F1CCA"/>
    <w:rsid w:val="6112BD91"/>
    <w:rsid w:val="61462D72"/>
    <w:rsid w:val="617C3EC3"/>
    <w:rsid w:val="6318DFF4"/>
    <w:rsid w:val="63F348DE"/>
    <w:rsid w:val="6414D696"/>
    <w:rsid w:val="645C3C05"/>
    <w:rsid w:val="647231D1"/>
    <w:rsid w:val="668CBEF9"/>
    <w:rsid w:val="685E7859"/>
    <w:rsid w:val="689C33C5"/>
    <w:rsid w:val="68B4B917"/>
    <w:rsid w:val="690DCFD2"/>
    <w:rsid w:val="698F2C6F"/>
    <w:rsid w:val="69C45FBB"/>
    <w:rsid w:val="69C48878"/>
    <w:rsid w:val="6AEBFAAB"/>
    <w:rsid w:val="6B161C8A"/>
    <w:rsid w:val="6B690353"/>
    <w:rsid w:val="6D0AC1C9"/>
    <w:rsid w:val="6DF865B2"/>
    <w:rsid w:val="6E6B1C58"/>
    <w:rsid w:val="6EFCFCF9"/>
    <w:rsid w:val="6F580370"/>
    <w:rsid w:val="6FB9CC6D"/>
    <w:rsid w:val="6FFCD424"/>
    <w:rsid w:val="7034EC92"/>
    <w:rsid w:val="70E09A1E"/>
    <w:rsid w:val="7112CD5A"/>
    <w:rsid w:val="715D2EB3"/>
    <w:rsid w:val="729971C9"/>
    <w:rsid w:val="73B9246D"/>
    <w:rsid w:val="73FAAC8B"/>
    <w:rsid w:val="7413B45D"/>
    <w:rsid w:val="744F410E"/>
    <w:rsid w:val="75148F8E"/>
    <w:rsid w:val="75B70D56"/>
    <w:rsid w:val="760F44EF"/>
    <w:rsid w:val="7617BEBC"/>
    <w:rsid w:val="77DA638A"/>
    <w:rsid w:val="7BD6DC87"/>
    <w:rsid w:val="7C264EDA"/>
    <w:rsid w:val="7CCBAFEC"/>
    <w:rsid w:val="7D781378"/>
    <w:rsid w:val="7E263817"/>
    <w:rsid w:val="7EA24977"/>
    <w:rsid w:val="7F006817"/>
    <w:rsid w:val="7F3B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48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  <w:style w:type="table" w:customStyle="1" w:styleId="GridTable5Dark-Accent22">
    <w:name w:val="Grid Table 5 Dark - Accent 22"/>
    <w:basedOn w:val="TableNormal"/>
    <w:uiPriority w:val="50"/>
    <w:rsid w:val="003436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  <w:style w:type="table" w:customStyle="1" w:styleId="GridTable5Dark-Accent22">
    <w:name w:val="Grid Table 5 Dark - Accent 22"/>
    <w:basedOn w:val="TableNormal"/>
    <w:uiPriority w:val="50"/>
    <w:rsid w:val="003436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EFE806E8844CA82F152E15806D4C" ma:contentTypeVersion="4" ma:contentTypeDescription="Create a new document." ma:contentTypeScope="" ma:versionID="537ba59c690a49949d77f3c5d8812e47">
  <xsd:schema xmlns:xsd="http://www.w3.org/2001/XMLSchema" xmlns:xs="http://www.w3.org/2001/XMLSchema" xmlns:p="http://schemas.microsoft.com/office/2006/metadata/properties" xmlns:ns2="800e16e8-2109-40d9-9dc6-5aa32e4de434" xmlns:ns3="0c4a6f31-d38c-4f21-8422-a05a02115431" targetNamespace="http://schemas.microsoft.com/office/2006/metadata/properties" ma:root="true" ma:fieldsID="4228b14d3f59ae1cbb01c1d2b7d6a464" ns2:_="" ns3:_="">
    <xsd:import namespace="800e16e8-2109-40d9-9dc6-5aa32e4de434"/>
    <xsd:import namespace="0c4a6f31-d38c-4f21-8422-a05a02115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16e8-2109-40d9-9dc6-5aa32e4d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6f31-d38c-4f21-8422-a05a02115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A98C3-DD67-4139-A187-6D063617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e16e8-2109-40d9-9dc6-5aa32e4de434"/>
    <ds:schemaRef ds:uri="0c4a6f31-d38c-4f21-8422-a05a02115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7B44EA-D46A-4B3E-B940-5A434E29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5555</Characters>
  <Application>Microsoft Office Word</Application>
  <DocSecurity>0</DocSecurity>
  <Lines>46</Lines>
  <Paragraphs>13</Paragraphs>
  <ScaleCrop>false</ScaleCrop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subject/>
  <dc:creator/>
  <cp:keywords/>
  <cp:lastModifiedBy/>
  <cp:revision>10</cp:revision>
  <dcterms:created xsi:type="dcterms:W3CDTF">2021-05-25T22:27:00Z</dcterms:created>
  <dcterms:modified xsi:type="dcterms:W3CDTF">2021-06-01T19:06:00Z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0x010100A702EFE806E8844CA82F152E15806D4C</vt:lpwstr>
  </property>
</Properties>
</file>