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Layout w:type="fixed"/>
        <w:tblLook w:val="04A0" w:firstRow="1" w:lastRow="0" w:firstColumn="1" w:lastColumn="0" w:noHBand="0" w:noVBand="1"/>
      </w:tblPr>
      <w:tblGrid>
        <w:gridCol w:w="1170"/>
        <w:gridCol w:w="7290"/>
        <w:gridCol w:w="1620"/>
      </w:tblGrid>
      <w:tr w:rsidR="00D83026" w:rsidRPr="00D83026" w14:paraId="02BEBF27" w14:textId="77777777" w:rsidTr="005117AE">
        <w:trPr>
          <w:trHeight w:val="426"/>
          <w:jc w:val="center"/>
        </w:trPr>
        <w:tc>
          <w:tcPr>
            <w:tcW w:w="8460" w:type="dxa"/>
            <w:gridSpan w:val="2"/>
          </w:tcPr>
          <w:p w14:paraId="7E12AFCA" w14:textId="0B1B1AAD" w:rsidR="00D83026" w:rsidRPr="00D83026" w:rsidRDefault="00874FCB" w:rsidP="00D83026">
            <w:pPr>
              <w:widowControl w:val="0"/>
              <w:spacing w:line="276" w:lineRule="auto"/>
              <w:rPr>
                <w:rFonts w:ascii="Helvetica" w:hAnsi="Helvetica"/>
                <w:sz w:val="16"/>
              </w:rPr>
            </w:pPr>
            <w:r w:rsidRPr="00D83026">
              <w:rPr>
                <w:rFonts w:ascii="Helvetica" w:hAnsi="Helvetica"/>
                <w:sz w:val="16"/>
              </w:rPr>
              <w:t>STATE OF CALIFORNIA</w:t>
            </w:r>
          </w:p>
          <w:p w14:paraId="2DEED823" w14:textId="56C7AFE4" w:rsidR="00D83026" w:rsidRPr="00D83026" w:rsidRDefault="00874FCB" w:rsidP="00D83026">
            <w:pPr>
              <w:widowControl w:val="0"/>
              <w:spacing w:line="276" w:lineRule="auto"/>
              <w:rPr>
                <w:rFonts w:ascii="Helvetica" w:hAnsi="Helvetica"/>
                <w:sz w:val="16"/>
              </w:rPr>
            </w:pPr>
            <w:r w:rsidRPr="00D83026">
              <w:rPr>
                <w:rFonts w:ascii="Helvetica" w:hAnsi="Helvetica"/>
                <w:sz w:val="16"/>
              </w:rPr>
              <w:t xml:space="preserve">PUBLIC UTILITIES COMISSION </w:t>
            </w:r>
          </w:p>
          <w:p w14:paraId="3EE68504" w14:textId="77777777" w:rsidR="00D83026" w:rsidRPr="00D83026" w:rsidRDefault="00D83026" w:rsidP="00D83026">
            <w:pPr>
              <w:widowControl w:val="0"/>
              <w:spacing w:line="276" w:lineRule="auto"/>
              <w:rPr>
                <w:rFonts w:ascii="Helvetica" w:hAnsi="Helvetica"/>
                <w:sz w:val="16"/>
              </w:rPr>
            </w:pPr>
            <w:r w:rsidRPr="00D83026">
              <w:rPr>
                <w:rFonts w:ascii="Helvetica" w:hAnsi="Helvetica"/>
                <w:i/>
                <w:sz w:val="16"/>
              </w:rPr>
              <w:t>ENERGY DIVISION</w:t>
            </w:r>
          </w:p>
        </w:tc>
        <w:tc>
          <w:tcPr>
            <w:tcW w:w="1620" w:type="dxa"/>
            <w:vMerge w:val="restart"/>
          </w:tcPr>
          <w:p w14:paraId="2C89BD2D" w14:textId="77777777" w:rsidR="00D83026" w:rsidRPr="00D83026" w:rsidRDefault="00D83026" w:rsidP="00D83026">
            <w:pPr>
              <w:widowControl w:val="0"/>
              <w:spacing w:line="276" w:lineRule="auto"/>
              <w:rPr>
                <w:rFonts w:ascii="Courier" w:hAnsi="Courier"/>
                <w:i/>
              </w:rPr>
            </w:pPr>
            <w:r w:rsidRPr="00D83026">
              <w:rPr>
                <w:noProof/>
              </w:rPr>
              <w:drawing>
                <wp:inline distT="0" distB="0" distL="0" distR="0" wp14:anchorId="12CEB1A3" wp14:editId="1E8186DE">
                  <wp:extent cx="876300" cy="8549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762" t="3712" r="3431" b="4625"/>
                          <a:stretch/>
                        </pic:blipFill>
                        <pic:spPr bwMode="auto">
                          <a:xfrm>
                            <a:off x="0" y="0"/>
                            <a:ext cx="945040" cy="922060"/>
                          </a:xfrm>
                          <a:prstGeom prst="rect">
                            <a:avLst/>
                          </a:prstGeom>
                          <a:ln>
                            <a:noFill/>
                          </a:ln>
                          <a:extLst>
                            <a:ext uri="{53640926-AAD7-44D8-BBD7-CCE9431645EC}">
                              <a14:shadowObscured xmlns:a14="http://schemas.microsoft.com/office/drawing/2010/main"/>
                            </a:ext>
                          </a:extLst>
                        </pic:spPr>
                      </pic:pic>
                    </a:graphicData>
                  </a:graphic>
                </wp:inline>
              </w:drawing>
            </w:r>
          </w:p>
          <w:p w14:paraId="3B2B2F34" w14:textId="77777777" w:rsidR="00D83026" w:rsidRPr="00D83026" w:rsidRDefault="00D83026" w:rsidP="00D83026">
            <w:pPr>
              <w:widowControl w:val="0"/>
              <w:spacing w:line="276" w:lineRule="auto"/>
              <w:rPr>
                <w:rFonts w:ascii="Courier" w:hAnsi="Courier"/>
                <w:i/>
              </w:rPr>
            </w:pPr>
          </w:p>
        </w:tc>
      </w:tr>
      <w:tr w:rsidR="00D83026" w:rsidRPr="00D83026" w14:paraId="0A7A4D32" w14:textId="77777777" w:rsidTr="005117AE">
        <w:trPr>
          <w:trHeight w:val="450"/>
          <w:jc w:val="center"/>
        </w:trPr>
        <w:tc>
          <w:tcPr>
            <w:tcW w:w="8460" w:type="dxa"/>
            <w:gridSpan w:val="2"/>
          </w:tcPr>
          <w:p w14:paraId="6AB7E5CD" w14:textId="77777777" w:rsidR="00D83026" w:rsidRPr="00D83026" w:rsidRDefault="00D83026" w:rsidP="00D83026">
            <w:pPr>
              <w:widowControl w:val="0"/>
              <w:spacing w:line="276" w:lineRule="auto"/>
              <w:rPr>
                <w:rFonts w:ascii="Courier" w:hAnsi="Courier"/>
                <w:sz w:val="12"/>
              </w:rPr>
            </w:pPr>
          </w:p>
          <w:p w14:paraId="434B09E6" w14:textId="77777777" w:rsidR="00874FCB" w:rsidRDefault="00874FCB" w:rsidP="00D83026">
            <w:pPr>
              <w:widowControl w:val="0"/>
              <w:spacing w:line="276" w:lineRule="auto"/>
              <w:rPr>
                <w:rFonts w:ascii="Helvetica" w:hAnsi="Helvetica"/>
                <w:b/>
                <w:sz w:val="36"/>
                <w:szCs w:val="36"/>
                <w:lang w:val="es-US"/>
              </w:rPr>
            </w:pPr>
          </w:p>
          <w:p w14:paraId="2BF7D0E1" w14:textId="446A7659" w:rsidR="00D83026" w:rsidRPr="00D83026" w:rsidRDefault="00D83026" w:rsidP="00D83026">
            <w:pPr>
              <w:widowControl w:val="0"/>
              <w:spacing w:line="276" w:lineRule="auto"/>
              <w:rPr>
                <w:rFonts w:ascii="Helvetica" w:hAnsi="Helvetica"/>
                <w:b/>
                <w:sz w:val="36"/>
                <w:szCs w:val="36"/>
                <w:lang w:val="es-US"/>
              </w:rPr>
            </w:pPr>
            <w:r w:rsidRPr="00D83026">
              <w:rPr>
                <w:rFonts w:ascii="Helvetica" w:hAnsi="Helvetica"/>
                <w:b/>
                <w:sz w:val="36"/>
                <w:szCs w:val="36"/>
                <w:lang w:val="es-US"/>
              </w:rPr>
              <w:t>M e m o r a n d u m</w:t>
            </w:r>
          </w:p>
        </w:tc>
        <w:tc>
          <w:tcPr>
            <w:tcW w:w="1620" w:type="dxa"/>
            <w:vMerge/>
            <w:vAlign w:val="center"/>
          </w:tcPr>
          <w:p w14:paraId="5D150554" w14:textId="77777777" w:rsidR="00D83026" w:rsidRPr="00D83026" w:rsidRDefault="00D83026" w:rsidP="00D83026">
            <w:pPr>
              <w:widowControl w:val="0"/>
              <w:spacing w:line="276" w:lineRule="auto"/>
              <w:rPr>
                <w:rFonts w:ascii="Courier" w:hAnsi="Courier"/>
                <w:lang w:val="es-US"/>
              </w:rPr>
            </w:pPr>
          </w:p>
        </w:tc>
      </w:tr>
      <w:tr w:rsidR="00D83026" w:rsidRPr="00D83026" w14:paraId="56943371" w14:textId="77777777" w:rsidTr="005117AE">
        <w:trPr>
          <w:trHeight w:val="345"/>
          <w:jc w:val="center"/>
        </w:trPr>
        <w:tc>
          <w:tcPr>
            <w:tcW w:w="1170" w:type="dxa"/>
          </w:tcPr>
          <w:p w14:paraId="10F03D4D" w14:textId="77777777" w:rsidR="00D83026" w:rsidRPr="00D83026" w:rsidRDefault="00D83026" w:rsidP="00D83026">
            <w:pPr>
              <w:widowControl w:val="0"/>
              <w:spacing w:line="276" w:lineRule="auto"/>
              <w:rPr>
                <w:rFonts w:ascii="Times" w:hAnsi="Times"/>
              </w:rPr>
            </w:pPr>
            <w:r w:rsidRPr="00D83026">
              <w:rPr>
                <w:rFonts w:ascii="Helvetica" w:hAnsi="Helvetica"/>
                <w:b/>
              </w:rPr>
              <w:t>Date:</w:t>
            </w:r>
          </w:p>
        </w:tc>
        <w:sdt>
          <w:sdtPr>
            <w:rPr>
              <w:rFonts w:ascii="Calibri" w:hAnsi="Calibri" w:cs="Helvetica"/>
            </w:rPr>
            <w:id w:val="-702096770"/>
            <w:placeholder>
              <w:docPart w:val="014C1762852C414BB6FCCD30D011226A"/>
            </w:placeholder>
          </w:sdtPr>
          <w:sdtEndPr/>
          <w:sdtContent>
            <w:tc>
              <w:tcPr>
                <w:tcW w:w="7290" w:type="dxa"/>
              </w:tcPr>
              <w:p w14:paraId="6B6C670C" w14:textId="0951065D" w:rsidR="00D83026" w:rsidRPr="00D83026" w:rsidRDefault="00874FCB" w:rsidP="005117AE">
                <w:pPr>
                  <w:widowControl w:val="0"/>
                  <w:spacing w:line="276" w:lineRule="auto"/>
                  <w:rPr>
                    <w:rFonts w:ascii="Calibri" w:hAnsi="Calibri" w:cs="Helvetica"/>
                  </w:rPr>
                </w:pPr>
                <w:r>
                  <w:rPr>
                    <w:rFonts w:ascii="Calibri" w:hAnsi="Calibri" w:cs="Helvetica"/>
                  </w:rPr>
                  <w:t>0</w:t>
                </w:r>
                <w:r w:rsidR="005117AE">
                  <w:rPr>
                    <w:rFonts w:ascii="Calibri" w:hAnsi="Calibri" w:cs="Helvetica"/>
                  </w:rPr>
                  <w:t>2</w:t>
                </w:r>
                <w:r w:rsidR="00D83026" w:rsidRPr="00D83026">
                  <w:rPr>
                    <w:rFonts w:ascii="Calibri" w:hAnsi="Calibri" w:cs="Helvetica"/>
                  </w:rPr>
                  <w:t>-</w:t>
                </w:r>
                <w:r w:rsidR="005117AE">
                  <w:rPr>
                    <w:rFonts w:ascii="Calibri" w:hAnsi="Calibri" w:cs="Helvetica"/>
                  </w:rPr>
                  <w:t>18</w:t>
                </w:r>
                <w:r>
                  <w:rPr>
                    <w:rFonts w:ascii="Calibri" w:hAnsi="Calibri" w:cs="Helvetica"/>
                  </w:rPr>
                  <w:t>-2020</w:t>
                </w:r>
              </w:p>
            </w:tc>
          </w:sdtContent>
        </w:sdt>
        <w:tc>
          <w:tcPr>
            <w:tcW w:w="1620" w:type="dxa"/>
            <w:vMerge/>
          </w:tcPr>
          <w:p w14:paraId="38BA1A6A" w14:textId="77777777" w:rsidR="00D83026" w:rsidRPr="00D83026" w:rsidRDefault="00D83026" w:rsidP="00D83026">
            <w:pPr>
              <w:widowControl w:val="0"/>
              <w:spacing w:line="276" w:lineRule="auto"/>
              <w:ind w:left="165"/>
              <w:rPr>
                <w:rFonts w:ascii="Times" w:hAnsi="Times"/>
              </w:rPr>
            </w:pPr>
          </w:p>
        </w:tc>
      </w:tr>
      <w:tr w:rsidR="00D83026" w:rsidRPr="00D83026" w14:paraId="004D2974" w14:textId="77777777" w:rsidTr="005117AE">
        <w:trPr>
          <w:trHeight w:val="345"/>
          <w:jc w:val="center"/>
        </w:trPr>
        <w:tc>
          <w:tcPr>
            <w:tcW w:w="1170" w:type="dxa"/>
          </w:tcPr>
          <w:p w14:paraId="0E865537" w14:textId="77777777" w:rsidR="00D83026" w:rsidRPr="00D83026" w:rsidRDefault="00D83026" w:rsidP="00D83026">
            <w:pPr>
              <w:widowControl w:val="0"/>
              <w:spacing w:line="276" w:lineRule="auto"/>
              <w:rPr>
                <w:rFonts w:ascii="Times" w:hAnsi="Times"/>
              </w:rPr>
            </w:pPr>
            <w:r w:rsidRPr="00D83026">
              <w:rPr>
                <w:rFonts w:ascii="Helvetica" w:hAnsi="Helvetica"/>
                <w:b/>
              </w:rPr>
              <w:t>To:</w:t>
            </w:r>
          </w:p>
        </w:tc>
        <w:tc>
          <w:tcPr>
            <w:tcW w:w="7290" w:type="dxa"/>
          </w:tcPr>
          <w:p w14:paraId="527FC651" w14:textId="712850FE" w:rsidR="00D83026" w:rsidRPr="008F060E" w:rsidRDefault="00D10B64" w:rsidP="005117AE">
            <w:pPr>
              <w:widowControl w:val="0"/>
              <w:spacing w:line="276" w:lineRule="auto"/>
              <w:ind w:right="-915"/>
              <w:rPr>
                <w:rFonts w:asciiTheme="minorHAnsi" w:hAnsiTheme="minorHAnsi" w:cstheme="minorHAnsi"/>
                <w:szCs w:val="24"/>
              </w:rPr>
            </w:pPr>
            <w:sdt>
              <w:sdtPr>
                <w:rPr>
                  <w:rFonts w:asciiTheme="minorHAnsi" w:hAnsiTheme="minorHAnsi" w:cstheme="minorHAnsi"/>
                </w:rPr>
                <w:id w:val="-2100633589"/>
                <w:placeholder>
                  <w:docPart w:val="7BB5BB2D13B64685AC8FB3324FEC43F8"/>
                </w:placeholder>
                <w:text/>
              </w:sdtPr>
              <w:sdtEndPr/>
              <w:sdtContent>
                <w:r w:rsidR="008F060E" w:rsidRPr="008F060E">
                  <w:rPr>
                    <w:rFonts w:asciiTheme="minorHAnsi" w:hAnsiTheme="minorHAnsi" w:cstheme="minorHAnsi"/>
                  </w:rPr>
                  <w:t>Stakeholders to R. 13-09-011, A.17-01-012, R.19-11-009, and R.16-02-007</w:t>
                </w:r>
              </w:sdtContent>
            </w:sdt>
          </w:p>
        </w:tc>
        <w:tc>
          <w:tcPr>
            <w:tcW w:w="1620" w:type="dxa"/>
            <w:vMerge/>
          </w:tcPr>
          <w:p w14:paraId="0AE7F921" w14:textId="77777777" w:rsidR="00D83026" w:rsidRPr="00D83026" w:rsidRDefault="00D83026" w:rsidP="00D83026">
            <w:pPr>
              <w:widowControl w:val="0"/>
              <w:spacing w:line="276" w:lineRule="auto"/>
              <w:ind w:left="165"/>
              <w:rPr>
                <w:rFonts w:ascii="Times" w:hAnsi="Times"/>
              </w:rPr>
            </w:pPr>
          </w:p>
        </w:tc>
      </w:tr>
      <w:tr w:rsidR="00D83026" w:rsidRPr="00D83026" w14:paraId="0C0F6EDE" w14:textId="77777777" w:rsidTr="005117AE">
        <w:trPr>
          <w:trHeight w:val="345"/>
          <w:jc w:val="center"/>
        </w:trPr>
        <w:tc>
          <w:tcPr>
            <w:tcW w:w="1170" w:type="dxa"/>
          </w:tcPr>
          <w:p w14:paraId="2B3BFF0A" w14:textId="77777777" w:rsidR="00D83026" w:rsidRPr="00D83026" w:rsidRDefault="00D83026" w:rsidP="00D83026">
            <w:pPr>
              <w:widowControl w:val="0"/>
              <w:spacing w:line="276" w:lineRule="auto"/>
              <w:rPr>
                <w:rFonts w:ascii="Helvetica" w:hAnsi="Helvetica"/>
                <w:b/>
                <w:sz w:val="18"/>
              </w:rPr>
            </w:pPr>
            <w:r w:rsidRPr="00D83026">
              <w:rPr>
                <w:rFonts w:ascii="Helvetica" w:hAnsi="Helvetica"/>
                <w:b/>
              </w:rPr>
              <w:t>From:</w:t>
            </w:r>
          </w:p>
        </w:tc>
        <w:tc>
          <w:tcPr>
            <w:tcW w:w="8910" w:type="dxa"/>
            <w:gridSpan w:val="2"/>
          </w:tcPr>
          <w:p w14:paraId="37B3E971" w14:textId="7D81A0B3" w:rsidR="00D83026" w:rsidRPr="00D83026" w:rsidRDefault="00D10B64" w:rsidP="005117AE">
            <w:pPr>
              <w:widowControl w:val="0"/>
              <w:tabs>
                <w:tab w:val="left" w:pos="1710"/>
              </w:tabs>
              <w:spacing w:line="276" w:lineRule="auto"/>
              <w:ind w:left="-15" w:right="-120"/>
              <w:rPr>
                <w:rFonts w:ascii="Calibri" w:hAnsi="Calibri" w:cs="Helvetica"/>
                <w:b/>
              </w:rPr>
            </w:pPr>
            <w:sdt>
              <w:sdtPr>
                <w:rPr>
                  <w:rFonts w:ascii="Calibri" w:hAnsi="Calibri" w:cs="Helvetica"/>
                </w:rPr>
                <w:id w:val="-594706114"/>
                <w:placeholder>
                  <w:docPart w:val="C6F3F20E327B4691BE78E14B573BFF21"/>
                </w:placeholder>
                <w:text/>
              </w:sdtPr>
              <w:sdtEndPr/>
              <w:sdtContent>
                <w:r w:rsidR="00874FCB">
                  <w:rPr>
                    <w:rFonts w:ascii="Calibri" w:hAnsi="Calibri" w:cs="Helvetica"/>
                  </w:rPr>
                  <w:t xml:space="preserve">Energy Division, California Public Utilities Commission </w:t>
                </w:r>
              </w:sdtContent>
            </w:sdt>
          </w:p>
        </w:tc>
      </w:tr>
      <w:tr w:rsidR="00D83026" w:rsidRPr="00D83026" w14:paraId="0E2093B1" w14:textId="77777777" w:rsidTr="005117AE">
        <w:trPr>
          <w:trHeight w:val="345"/>
          <w:jc w:val="center"/>
        </w:trPr>
        <w:tc>
          <w:tcPr>
            <w:tcW w:w="1170" w:type="dxa"/>
            <w:tcBorders>
              <w:bottom w:val="single" w:sz="4" w:space="0" w:color="auto"/>
            </w:tcBorders>
          </w:tcPr>
          <w:p w14:paraId="471CF3D2" w14:textId="77777777" w:rsidR="00D83026" w:rsidRPr="00D83026" w:rsidRDefault="00D83026" w:rsidP="00D83026">
            <w:pPr>
              <w:widowControl w:val="0"/>
              <w:spacing w:line="276" w:lineRule="auto"/>
              <w:ind w:right="-105"/>
              <w:rPr>
                <w:rFonts w:ascii="Times" w:hAnsi="Times"/>
              </w:rPr>
            </w:pPr>
            <w:r w:rsidRPr="00D83026">
              <w:rPr>
                <w:rFonts w:ascii="Helvetica" w:hAnsi="Helvetica"/>
                <w:b/>
              </w:rPr>
              <w:t>Subject:</w:t>
            </w:r>
          </w:p>
        </w:tc>
        <w:sdt>
          <w:sdtPr>
            <w:rPr>
              <w:rFonts w:ascii="Calibri" w:hAnsi="Calibri" w:cs="Helvetica"/>
            </w:rPr>
            <w:id w:val="-1821563595"/>
            <w:placeholder>
              <w:docPart w:val="15AA3206265648228E3D02CDFE146737"/>
            </w:placeholder>
          </w:sdtPr>
          <w:sdtEndPr/>
          <w:sdtContent>
            <w:tc>
              <w:tcPr>
                <w:tcW w:w="8910" w:type="dxa"/>
                <w:gridSpan w:val="2"/>
                <w:tcBorders>
                  <w:bottom w:val="single" w:sz="4" w:space="0" w:color="auto"/>
                </w:tcBorders>
              </w:tcPr>
              <w:p w14:paraId="3CC28978" w14:textId="303BD843" w:rsidR="00D83026" w:rsidRPr="00D83026" w:rsidRDefault="00DA7990" w:rsidP="005117AE">
                <w:pPr>
                  <w:widowControl w:val="0"/>
                  <w:spacing w:line="276" w:lineRule="auto"/>
                  <w:rPr>
                    <w:rFonts w:ascii="Calibri" w:hAnsi="Calibri" w:cs="Helvetica"/>
                  </w:rPr>
                </w:pPr>
                <w:r w:rsidRPr="005515AE">
                  <w:rPr>
                    <w:rFonts w:ascii="Calibri" w:hAnsi="Calibri" w:cs="Helvetica"/>
                  </w:rPr>
                  <w:t xml:space="preserve">Guidance on the application of Load Impact Protocols </w:t>
                </w:r>
                <w:r w:rsidR="00987D6A">
                  <w:rPr>
                    <w:rFonts w:ascii="Calibri" w:hAnsi="Calibri" w:cs="Helvetica"/>
                  </w:rPr>
                  <w:t xml:space="preserve">to </w:t>
                </w:r>
                <w:r w:rsidRPr="005515AE">
                  <w:rPr>
                    <w:rFonts w:ascii="Calibri" w:hAnsi="Calibri" w:cs="Helvetica"/>
                  </w:rPr>
                  <w:t xml:space="preserve">the IRP Solicitations from </w:t>
                </w:r>
                <w:r w:rsidR="005515AE" w:rsidRPr="005515AE">
                  <w:rPr>
                    <w:rFonts w:ascii="Calibri" w:hAnsi="Calibri" w:cs="Helvetica"/>
                  </w:rPr>
                  <w:t>Decision D.19-11-016</w:t>
                </w:r>
              </w:p>
            </w:tc>
          </w:sdtContent>
        </w:sdt>
      </w:tr>
    </w:tbl>
    <w:p w14:paraId="1648F51C" w14:textId="77777777" w:rsidR="00D83026" w:rsidRDefault="00D83026" w:rsidP="00F821F1">
      <w:pPr>
        <w:rPr>
          <w:rFonts w:asciiTheme="minorHAnsi" w:hAnsiTheme="minorHAnsi"/>
        </w:rPr>
      </w:pPr>
    </w:p>
    <w:p w14:paraId="1723216C" w14:textId="70FEE0B8" w:rsidR="005C596D" w:rsidRDefault="005C596D" w:rsidP="00F821F1">
      <w:pPr>
        <w:rPr>
          <w:rFonts w:asciiTheme="minorHAnsi" w:hAnsiTheme="minorHAnsi"/>
        </w:rPr>
      </w:pPr>
    </w:p>
    <w:p w14:paraId="7B78E21B" w14:textId="53E1AEBB" w:rsidR="00874FCB" w:rsidRPr="00A00FEC" w:rsidRDefault="00874FCB" w:rsidP="00874FCB">
      <w:pPr>
        <w:overflowPunct/>
        <w:autoSpaceDE/>
        <w:autoSpaceDN/>
        <w:adjustRightInd/>
        <w:ind w:left="180"/>
        <w:textAlignment w:val="auto"/>
        <w:rPr>
          <w:rFonts w:asciiTheme="minorHAnsi" w:hAnsiTheme="minorHAnsi" w:cstheme="minorHAnsi"/>
          <w:color w:val="201F1E"/>
          <w:szCs w:val="24"/>
          <w:bdr w:val="none" w:sz="0" w:space="0" w:color="auto" w:frame="1"/>
        </w:rPr>
      </w:pPr>
      <w:r w:rsidRPr="00A00FEC">
        <w:rPr>
          <w:rFonts w:asciiTheme="minorHAnsi" w:hAnsiTheme="minorHAnsi" w:cstheme="minorHAnsi"/>
          <w:color w:val="201F1E"/>
          <w:szCs w:val="24"/>
          <w:bdr w:val="none" w:sz="0" w:space="0" w:color="auto" w:frame="1"/>
        </w:rPr>
        <w:t xml:space="preserve">Dear Parties to </w:t>
      </w:r>
      <w:r w:rsidR="008F060E" w:rsidRPr="008F060E">
        <w:rPr>
          <w:rFonts w:ascii="Calibri" w:hAnsi="Calibri" w:cs="Calibri"/>
          <w:sz w:val="23"/>
          <w:szCs w:val="23"/>
        </w:rPr>
        <w:t>R. 13-09-011</w:t>
      </w:r>
      <w:r w:rsidR="008F060E">
        <w:rPr>
          <w:rFonts w:ascii="Calibri" w:hAnsi="Calibri" w:cs="Calibri"/>
          <w:sz w:val="23"/>
          <w:szCs w:val="23"/>
        </w:rPr>
        <w:t xml:space="preserve">, </w:t>
      </w:r>
      <w:r w:rsidRPr="00A00FEC">
        <w:rPr>
          <w:rFonts w:asciiTheme="minorHAnsi" w:hAnsiTheme="minorHAnsi" w:cstheme="minorHAnsi"/>
          <w:color w:val="201F1E"/>
          <w:szCs w:val="24"/>
          <w:bdr w:val="none" w:sz="0" w:space="0" w:color="auto" w:frame="1"/>
        </w:rPr>
        <w:t>A.17-01-012, R.19-11-009</w:t>
      </w:r>
      <w:r w:rsidR="001857CA">
        <w:rPr>
          <w:rFonts w:asciiTheme="minorHAnsi" w:hAnsiTheme="minorHAnsi" w:cstheme="minorHAnsi"/>
          <w:color w:val="201F1E"/>
          <w:szCs w:val="24"/>
          <w:bdr w:val="none" w:sz="0" w:space="0" w:color="auto" w:frame="1"/>
        </w:rPr>
        <w:t xml:space="preserve">, and </w:t>
      </w:r>
      <w:r w:rsidR="001857CA" w:rsidRPr="001857CA">
        <w:rPr>
          <w:rFonts w:asciiTheme="minorHAnsi" w:hAnsiTheme="minorHAnsi" w:cstheme="minorHAnsi"/>
          <w:color w:val="201F1E"/>
          <w:szCs w:val="24"/>
          <w:bdr w:val="none" w:sz="0" w:space="0" w:color="auto" w:frame="1"/>
        </w:rPr>
        <w:t>R.16-02-007</w:t>
      </w:r>
      <w:r w:rsidRPr="00A00FEC">
        <w:rPr>
          <w:rFonts w:asciiTheme="minorHAnsi" w:hAnsiTheme="minorHAnsi" w:cstheme="minorHAnsi"/>
          <w:color w:val="201F1E"/>
          <w:szCs w:val="24"/>
          <w:bdr w:val="none" w:sz="0" w:space="0" w:color="auto" w:frame="1"/>
        </w:rPr>
        <w:t>:</w:t>
      </w:r>
      <w:r w:rsidR="00A00FEC" w:rsidRPr="00A00FEC">
        <w:rPr>
          <w:rFonts w:asciiTheme="minorHAnsi" w:hAnsiTheme="minorHAnsi" w:cstheme="minorHAnsi"/>
          <w:color w:val="201F1E"/>
          <w:szCs w:val="24"/>
          <w:bdr w:val="none" w:sz="0" w:space="0" w:color="auto" w:frame="1"/>
        </w:rPr>
        <w:t xml:space="preserve"> </w:t>
      </w:r>
    </w:p>
    <w:p w14:paraId="401592B5" w14:textId="16A9FC2E" w:rsidR="00874FCB" w:rsidRPr="00A00FEC" w:rsidRDefault="00874FCB" w:rsidP="00DA7990">
      <w:pPr>
        <w:overflowPunct/>
        <w:autoSpaceDE/>
        <w:autoSpaceDN/>
        <w:adjustRightInd/>
        <w:textAlignment w:val="auto"/>
        <w:rPr>
          <w:rFonts w:asciiTheme="minorHAnsi" w:hAnsiTheme="minorHAnsi" w:cstheme="minorHAnsi"/>
          <w:color w:val="201F1E"/>
          <w:szCs w:val="24"/>
          <w:bdr w:val="none" w:sz="0" w:space="0" w:color="auto" w:frame="1"/>
        </w:rPr>
      </w:pPr>
    </w:p>
    <w:p w14:paraId="123C1CB2" w14:textId="62C1F27C" w:rsidR="00874FCB" w:rsidRPr="00F720BD" w:rsidRDefault="00874FCB" w:rsidP="00874FCB">
      <w:pPr>
        <w:overflowPunct/>
        <w:autoSpaceDE/>
        <w:autoSpaceDN/>
        <w:adjustRightInd/>
        <w:ind w:left="180"/>
        <w:textAlignment w:val="auto"/>
        <w:rPr>
          <w:rFonts w:asciiTheme="minorHAnsi" w:hAnsiTheme="minorHAnsi" w:cstheme="minorHAnsi"/>
          <w:szCs w:val="24"/>
          <w:shd w:val="clear" w:color="auto" w:fill="FAF9F8"/>
        </w:rPr>
      </w:pPr>
      <w:r w:rsidRPr="00F720BD">
        <w:rPr>
          <w:rFonts w:asciiTheme="minorHAnsi" w:hAnsiTheme="minorHAnsi" w:cstheme="minorHAnsi"/>
          <w:color w:val="201F1E"/>
          <w:szCs w:val="24"/>
          <w:bdr w:val="none" w:sz="0" w:space="0" w:color="auto" w:frame="1"/>
        </w:rPr>
        <w:t>Energy Division is issuing further guidance on</w:t>
      </w:r>
      <w:r w:rsidR="00A00FEC" w:rsidRPr="00F720BD">
        <w:rPr>
          <w:rFonts w:asciiTheme="minorHAnsi" w:hAnsiTheme="minorHAnsi" w:cstheme="minorHAnsi"/>
          <w:color w:val="201F1E"/>
          <w:szCs w:val="24"/>
          <w:bdr w:val="none" w:sz="0" w:space="0" w:color="auto" w:frame="1"/>
        </w:rPr>
        <w:t xml:space="preserve"> the applicability of the Load Impact Protocols</w:t>
      </w:r>
      <w:r w:rsidRPr="00F720BD">
        <w:rPr>
          <w:rFonts w:asciiTheme="minorHAnsi" w:hAnsiTheme="minorHAnsi" w:cstheme="minorHAnsi"/>
          <w:color w:val="201F1E"/>
          <w:szCs w:val="24"/>
          <w:bdr w:val="none" w:sz="0" w:space="0" w:color="auto" w:frame="1"/>
        </w:rPr>
        <w:t xml:space="preserve"> </w:t>
      </w:r>
      <w:r w:rsidR="00A00FEC" w:rsidRPr="00F720BD">
        <w:rPr>
          <w:rFonts w:asciiTheme="minorHAnsi" w:hAnsiTheme="minorHAnsi" w:cstheme="minorHAnsi"/>
          <w:color w:val="201F1E"/>
          <w:szCs w:val="24"/>
          <w:bdr w:val="none" w:sz="0" w:space="0" w:color="auto" w:frame="1"/>
        </w:rPr>
        <w:t>(LIPs</w:t>
      </w:r>
      <w:r w:rsidR="00DA7990" w:rsidRPr="00F720BD">
        <w:rPr>
          <w:rFonts w:asciiTheme="minorHAnsi" w:hAnsiTheme="minorHAnsi" w:cstheme="minorHAnsi"/>
          <w:color w:val="201F1E"/>
          <w:szCs w:val="24"/>
          <w:bdr w:val="none" w:sz="0" w:space="0" w:color="auto" w:frame="1"/>
        </w:rPr>
        <w:t xml:space="preserve">) in the Load Serving Entities (LSEs) </w:t>
      </w:r>
      <w:r w:rsidR="00A00FEC" w:rsidRPr="00F720BD">
        <w:rPr>
          <w:rFonts w:asciiTheme="minorHAnsi" w:hAnsiTheme="minorHAnsi" w:cstheme="minorHAnsi"/>
          <w:color w:val="201F1E"/>
          <w:szCs w:val="24"/>
          <w:bdr w:val="none" w:sz="0" w:space="0" w:color="auto" w:frame="1"/>
        </w:rPr>
        <w:t>Reliability Procurement</w:t>
      </w:r>
      <w:r w:rsidR="00DA7990" w:rsidRPr="00F720BD">
        <w:rPr>
          <w:rFonts w:asciiTheme="minorHAnsi" w:hAnsiTheme="minorHAnsi" w:cstheme="minorHAnsi"/>
          <w:color w:val="201F1E"/>
          <w:szCs w:val="24"/>
          <w:bdr w:val="none" w:sz="0" w:space="0" w:color="auto" w:frame="1"/>
        </w:rPr>
        <w:t xml:space="preserve"> mandated by </w:t>
      </w:r>
      <w:r w:rsidR="005515AE" w:rsidRPr="005515AE">
        <w:rPr>
          <w:rFonts w:asciiTheme="minorHAnsi" w:hAnsiTheme="minorHAnsi" w:cstheme="minorHAnsi"/>
          <w:color w:val="201F1E"/>
          <w:szCs w:val="24"/>
          <w:bdr w:val="none" w:sz="0" w:space="0" w:color="auto" w:frame="1"/>
        </w:rPr>
        <w:t xml:space="preserve">D.19-11-016 </w:t>
      </w:r>
      <w:r w:rsidR="00DA7990" w:rsidRPr="00F720BD">
        <w:rPr>
          <w:rFonts w:asciiTheme="minorHAnsi" w:hAnsiTheme="minorHAnsi" w:cstheme="minorHAnsi"/>
          <w:color w:val="201F1E"/>
          <w:szCs w:val="24"/>
          <w:bdr w:val="none" w:sz="0" w:space="0" w:color="auto" w:frame="1"/>
        </w:rPr>
        <w:t>in the Integrated Resource Planning (IRP) Proceeding.</w:t>
      </w:r>
      <w:r w:rsidR="00DA7990" w:rsidRPr="00F720BD">
        <w:rPr>
          <w:rFonts w:asciiTheme="minorHAnsi" w:hAnsiTheme="minorHAnsi" w:cstheme="minorHAnsi"/>
          <w:szCs w:val="24"/>
          <w:shd w:val="clear" w:color="auto" w:fill="FAF9F8"/>
        </w:rPr>
        <w:t xml:space="preserve"> </w:t>
      </w:r>
    </w:p>
    <w:p w14:paraId="5059B7F2" w14:textId="1CF28CEB" w:rsidR="00DA7990" w:rsidRPr="00F720BD" w:rsidRDefault="00DA7990" w:rsidP="00874FCB">
      <w:pPr>
        <w:overflowPunct/>
        <w:autoSpaceDE/>
        <w:autoSpaceDN/>
        <w:adjustRightInd/>
        <w:ind w:left="180"/>
        <w:textAlignment w:val="auto"/>
        <w:rPr>
          <w:rFonts w:asciiTheme="minorHAnsi" w:hAnsiTheme="minorHAnsi" w:cstheme="minorHAnsi"/>
          <w:szCs w:val="24"/>
          <w:shd w:val="clear" w:color="auto" w:fill="FAF9F8"/>
        </w:rPr>
      </w:pPr>
    </w:p>
    <w:p w14:paraId="2014CA39" w14:textId="70E76C74" w:rsidR="00DA7990" w:rsidRDefault="00F720BD" w:rsidP="00874FCB">
      <w:pPr>
        <w:overflowPunct/>
        <w:autoSpaceDE/>
        <w:autoSpaceDN/>
        <w:adjustRightInd/>
        <w:ind w:left="180"/>
        <w:textAlignment w:val="auto"/>
        <w:rPr>
          <w:rFonts w:asciiTheme="minorHAnsi" w:hAnsiTheme="minorHAnsi" w:cstheme="minorHAnsi"/>
          <w:sz w:val="22"/>
          <w:vertAlign w:val="superscript"/>
        </w:rPr>
      </w:pPr>
      <w:r w:rsidRPr="00F720BD">
        <w:rPr>
          <w:rFonts w:asciiTheme="minorHAnsi" w:hAnsiTheme="minorHAnsi" w:cstheme="minorHAnsi"/>
          <w:color w:val="201F1E"/>
          <w:szCs w:val="24"/>
          <w:bdr w:val="none" w:sz="0" w:space="0" w:color="auto" w:frame="1"/>
        </w:rPr>
        <w:t xml:space="preserve">On June 27, 2019, Decision 19-06-026 in </w:t>
      </w:r>
      <w:r w:rsidR="00DA7990" w:rsidRPr="00F720BD">
        <w:rPr>
          <w:rFonts w:asciiTheme="minorHAnsi" w:hAnsiTheme="minorHAnsi" w:cstheme="minorHAnsi"/>
          <w:color w:val="201F1E"/>
          <w:szCs w:val="24"/>
          <w:bdr w:val="none" w:sz="0" w:space="0" w:color="auto" w:frame="1"/>
        </w:rPr>
        <w:t xml:space="preserve">the Resource Adequacy (RA) proceeding required </w:t>
      </w:r>
      <w:r w:rsidRPr="00F720BD">
        <w:rPr>
          <w:rFonts w:asciiTheme="minorHAnsi" w:hAnsiTheme="minorHAnsi" w:cstheme="minorHAnsi"/>
          <w:color w:val="201F1E"/>
          <w:szCs w:val="24"/>
          <w:bdr w:val="none" w:sz="0" w:space="0" w:color="auto" w:frame="1"/>
        </w:rPr>
        <w:t xml:space="preserve">that all Demand Response (DR) resources, third-party or IOU-managed, except for </w:t>
      </w:r>
      <w:r w:rsidRPr="001A56B7">
        <w:rPr>
          <w:rFonts w:asciiTheme="minorHAnsi" w:hAnsiTheme="minorHAnsi" w:cstheme="minorHAnsi"/>
          <w:szCs w:val="24"/>
          <w:bdr w:val="none" w:sz="0" w:space="0" w:color="auto" w:frame="1"/>
        </w:rPr>
        <w:t xml:space="preserve">the </w:t>
      </w:r>
      <w:r w:rsidR="001A56B7" w:rsidRPr="001A56B7">
        <w:rPr>
          <w:rFonts w:asciiTheme="minorHAnsi" w:hAnsiTheme="minorHAnsi" w:cstheme="minorHAnsi"/>
          <w:szCs w:val="24"/>
          <w:bdr w:val="none" w:sz="0" w:space="0" w:color="auto" w:frame="1"/>
        </w:rPr>
        <w:t>four</w:t>
      </w:r>
      <w:r w:rsidRPr="001A56B7">
        <w:rPr>
          <w:rFonts w:asciiTheme="minorHAnsi" w:hAnsiTheme="minorHAnsi" w:cstheme="minorHAnsi"/>
          <w:szCs w:val="24"/>
          <w:bdr w:val="none" w:sz="0" w:space="0" w:color="auto" w:frame="1"/>
        </w:rPr>
        <w:t xml:space="preserve">-year </w:t>
      </w:r>
      <w:r w:rsidRPr="00F720BD">
        <w:rPr>
          <w:rFonts w:asciiTheme="minorHAnsi" w:hAnsiTheme="minorHAnsi" w:cstheme="minorHAnsi"/>
          <w:color w:val="201F1E"/>
          <w:szCs w:val="24"/>
          <w:bdr w:val="none" w:sz="0" w:space="0" w:color="auto" w:frame="1"/>
        </w:rPr>
        <w:t>Demand Response Auction Mechanism (DRAM) authorized in D.</w:t>
      </w:r>
      <w:bookmarkStart w:id="0" w:name="_Hlk17194371"/>
      <w:r w:rsidR="005515AE" w:rsidRPr="005515AE">
        <w:rPr>
          <w:rFonts w:asciiTheme="minorHAnsi" w:hAnsiTheme="minorHAnsi" w:cstheme="minorHAnsi"/>
          <w:color w:val="201F1E"/>
          <w:szCs w:val="24"/>
          <w:bdr w:val="none" w:sz="0" w:space="0" w:color="auto" w:frame="1"/>
        </w:rPr>
        <w:t>19-07-009</w:t>
      </w:r>
      <w:bookmarkEnd w:id="0"/>
      <w:r w:rsidRPr="00F720BD">
        <w:rPr>
          <w:rFonts w:asciiTheme="minorHAnsi" w:hAnsiTheme="minorHAnsi" w:cstheme="minorHAnsi"/>
          <w:color w:val="201F1E"/>
          <w:szCs w:val="24"/>
          <w:bdr w:val="none" w:sz="0" w:space="0" w:color="auto" w:frame="1"/>
        </w:rPr>
        <w:t>, should receive Qualifying Capacity (QC) values based on application of the load impact protocols unless or until a further exception is established</w:t>
      </w:r>
      <w:r w:rsidRPr="00F720BD">
        <w:rPr>
          <w:rFonts w:asciiTheme="minorHAnsi" w:hAnsiTheme="minorHAnsi" w:cstheme="minorHAnsi"/>
          <w:szCs w:val="24"/>
          <w:shd w:val="clear" w:color="auto" w:fill="FAF9F8"/>
        </w:rPr>
        <w:t>.</w:t>
      </w:r>
      <w:r w:rsidR="00DA7990" w:rsidRPr="00F720BD">
        <w:rPr>
          <w:rFonts w:asciiTheme="minorHAnsi" w:hAnsiTheme="minorHAnsi" w:cstheme="minorHAnsi"/>
          <w:sz w:val="22"/>
          <w:vertAlign w:val="superscript"/>
        </w:rPr>
        <w:footnoteReference w:id="1"/>
      </w:r>
      <w:r w:rsidR="00DA7990" w:rsidRPr="00F720BD">
        <w:rPr>
          <w:rFonts w:asciiTheme="minorHAnsi" w:hAnsiTheme="minorHAnsi" w:cstheme="minorHAnsi"/>
          <w:sz w:val="22"/>
          <w:vertAlign w:val="superscript"/>
        </w:rPr>
        <w:t xml:space="preserve"> </w:t>
      </w:r>
    </w:p>
    <w:p w14:paraId="6F96EFB5" w14:textId="0C76F163" w:rsidR="00F720BD" w:rsidRDefault="00F720BD" w:rsidP="00874FCB">
      <w:pPr>
        <w:overflowPunct/>
        <w:autoSpaceDE/>
        <w:autoSpaceDN/>
        <w:adjustRightInd/>
        <w:ind w:left="180"/>
        <w:textAlignment w:val="auto"/>
        <w:rPr>
          <w:rFonts w:asciiTheme="minorHAnsi" w:hAnsiTheme="minorHAnsi" w:cstheme="minorHAnsi"/>
          <w:szCs w:val="24"/>
          <w:shd w:val="clear" w:color="auto" w:fill="FAF9F8"/>
        </w:rPr>
      </w:pPr>
    </w:p>
    <w:p w14:paraId="4A17158B" w14:textId="593E593E" w:rsidR="00F720BD" w:rsidRPr="00B52538" w:rsidRDefault="00F720BD" w:rsidP="004E32C3">
      <w:pPr>
        <w:overflowPunct/>
        <w:autoSpaceDE/>
        <w:autoSpaceDN/>
        <w:adjustRightInd/>
        <w:ind w:left="180"/>
        <w:textAlignment w:val="auto"/>
        <w:rPr>
          <w:rFonts w:asciiTheme="minorHAnsi" w:hAnsiTheme="minorHAnsi" w:cstheme="minorHAnsi"/>
          <w:color w:val="201F1E"/>
          <w:szCs w:val="24"/>
          <w:bdr w:val="none" w:sz="0" w:space="0" w:color="auto" w:frame="1"/>
        </w:rPr>
      </w:pPr>
      <w:r w:rsidRPr="00F720BD">
        <w:rPr>
          <w:rFonts w:asciiTheme="minorHAnsi" w:hAnsiTheme="minorHAnsi" w:cstheme="minorHAnsi"/>
          <w:color w:val="201F1E"/>
          <w:szCs w:val="24"/>
          <w:bdr w:val="none" w:sz="0" w:space="0" w:color="auto" w:frame="1"/>
        </w:rPr>
        <w:t>Energy Division is</w:t>
      </w:r>
      <w:r>
        <w:rPr>
          <w:rFonts w:asciiTheme="minorHAnsi" w:hAnsiTheme="minorHAnsi" w:cstheme="minorHAnsi"/>
          <w:color w:val="201F1E"/>
          <w:szCs w:val="24"/>
          <w:bdr w:val="none" w:sz="0" w:space="0" w:color="auto" w:frame="1"/>
        </w:rPr>
        <w:t xml:space="preserve"> clarifying that </w:t>
      </w:r>
      <w:r w:rsidRPr="00B52538">
        <w:rPr>
          <w:rFonts w:asciiTheme="minorHAnsi" w:hAnsiTheme="minorHAnsi" w:cstheme="minorHAnsi"/>
          <w:color w:val="201F1E"/>
          <w:szCs w:val="24"/>
          <w:bdr w:val="none" w:sz="0" w:space="0" w:color="auto" w:frame="1"/>
        </w:rPr>
        <w:t>for any current or future solicitations</w:t>
      </w:r>
      <w:r w:rsidR="004B227C">
        <w:rPr>
          <w:rFonts w:asciiTheme="minorHAnsi" w:hAnsiTheme="minorHAnsi" w:cstheme="minorHAnsi"/>
          <w:color w:val="201F1E"/>
          <w:szCs w:val="24"/>
          <w:bdr w:val="none" w:sz="0" w:space="0" w:color="auto" w:frame="1"/>
        </w:rPr>
        <w:t>,</w:t>
      </w:r>
      <w:r w:rsidRPr="00B52538">
        <w:rPr>
          <w:rFonts w:asciiTheme="minorHAnsi" w:hAnsiTheme="minorHAnsi" w:cstheme="minorHAnsi"/>
          <w:color w:val="201F1E"/>
          <w:szCs w:val="24"/>
          <w:bdr w:val="none" w:sz="0" w:space="0" w:color="auto" w:frame="1"/>
        </w:rPr>
        <w:t xml:space="preserve"> the LIPs </w:t>
      </w:r>
      <w:r w:rsidR="004B227C">
        <w:rPr>
          <w:rFonts w:asciiTheme="minorHAnsi" w:hAnsiTheme="minorHAnsi" w:cstheme="minorHAnsi"/>
          <w:color w:val="201F1E"/>
          <w:szCs w:val="24"/>
          <w:bdr w:val="none" w:sz="0" w:space="0" w:color="auto" w:frame="1"/>
        </w:rPr>
        <w:t>for the DR resource</w:t>
      </w:r>
      <w:r w:rsidR="00894D50">
        <w:rPr>
          <w:rFonts w:asciiTheme="minorHAnsi" w:hAnsiTheme="minorHAnsi" w:cstheme="minorHAnsi"/>
          <w:color w:val="201F1E"/>
          <w:szCs w:val="24"/>
          <w:bdr w:val="none" w:sz="0" w:space="0" w:color="auto" w:frame="1"/>
        </w:rPr>
        <w:t>s</w:t>
      </w:r>
      <w:r w:rsidR="004B227C">
        <w:rPr>
          <w:rFonts w:asciiTheme="minorHAnsi" w:hAnsiTheme="minorHAnsi" w:cstheme="minorHAnsi"/>
          <w:color w:val="201F1E"/>
          <w:szCs w:val="24"/>
          <w:bdr w:val="none" w:sz="0" w:space="0" w:color="auto" w:frame="1"/>
        </w:rPr>
        <w:t xml:space="preserve"> being bid into the solicitation </w:t>
      </w:r>
      <w:r w:rsidRPr="00B52538">
        <w:rPr>
          <w:rFonts w:asciiTheme="minorHAnsi" w:hAnsiTheme="minorHAnsi" w:cstheme="minorHAnsi"/>
          <w:color w:val="201F1E"/>
          <w:szCs w:val="24"/>
          <w:bdr w:val="none" w:sz="0" w:space="0" w:color="auto" w:frame="1"/>
        </w:rPr>
        <w:t>need not be completed prior to the solicitations</w:t>
      </w:r>
      <w:r w:rsidR="004B227C">
        <w:rPr>
          <w:rFonts w:asciiTheme="minorHAnsi" w:hAnsiTheme="minorHAnsi" w:cstheme="minorHAnsi"/>
          <w:color w:val="201F1E"/>
          <w:szCs w:val="24"/>
          <w:bdr w:val="none" w:sz="0" w:space="0" w:color="auto" w:frame="1"/>
        </w:rPr>
        <w:t>.</w:t>
      </w:r>
      <w:r w:rsidRPr="00B52538">
        <w:rPr>
          <w:rFonts w:asciiTheme="minorHAnsi" w:hAnsiTheme="minorHAnsi" w:cstheme="minorHAnsi"/>
          <w:color w:val="201F1E"/>
          <w:szCs w:val="24"/>
          <w:bdr w:val="none" w:sz="0" w:space="0" w:color="auto" w:frame="1"/>
        </w:rPr>
        <w:t xml:space="preserve"> </w:t>
      </w:r>
      <w:r w:rsidR="004B227C">
        <w:rPr>
          <w:rFonts w:asciiTheme="minorHAnsi" w:hAnsiTheme="minorHAnsi" w:cstheme="minorHAnsi"/>
          <w:color w:val="201F1E"/>
          <w:szCs w:val="24"/>
          <w:bdr w:val="none" w:sz="0" w:space="0" w:color="auto" w:frame="1"/>
        </w:rPr>
        <w:t>H</w:t>
      </w:r>
      <w:r w:rsidRPr="00B52538">
        <w:rPr>
          <w:rFonts w:asciiTheme="minorHAnsi" w:hAnsiTheme="minorHAnsi" w:cstheme="minorHAnsi"/>
          <w:color w:val="201F1E"/>
          <w:szCs w:val="24"/>
          <w:bdr w:val="none" w:sz="0" w:space="0" w:color="auto" w:frame="1"/>
        </w:rPr>
        <w:t>owever</w:t>
      </w:r>
      <w:r w:rsidR="00987D6A">
        <w:rPr>
          <w:rFonts w:asciiTheme="minorHAnsi" w:hAnsiTheme="minorHAnsi" w:cstheme="minorHAnsi"/>
          <w:color w:val="201F1E"/>
          <w:szCs w:val="24"/>
          <w:bdr w:val="none" w:sz="0" w:space="0" w:color="auto" w:frame="1"/>
        </w:rPr>
        <w:t>,</w:t>
      </w:r>
      <w:r w:rsidRPr="00B52538">
        <w:rPr>
          <w:rFonts w:asciiTheme="minorHAnsi" w:hAnsiTheme="minorHAnsi" w:cstheme="minorHAnsi"/>
          <w:color w:val="201F1E"/>
          <w:szCs w:val="24"/>
          <w:bdr w:val="none" w:sz="0" w:space="0" w:color="auto" w:frame="1"/>
        </w:rPr>
        <w:t xml:space="preserve"> </w:t>
      </w:r>
      <w:r w:rsidR="004B227C">
        <w:rPr>
          <w:rFonts w:asciiTheme="minorHAnsi" w:hAnsiTheme="minorHAnsi" w:cstheme="minorHAnsi"/>
          <w:color w:val="201F1E"/>
          <w:szCs w:val="24"/>
          <w:bdr w:val="none" w:sz="0" w:space="0" w:color="auto" w:frame="1"/>
        </w:rPr>
        <w:t xml:space="preserve">subsequent to the solicitation, </w:t>
      </w:r>
      <w:r w:rsidRPr="00B52538">
        <w:rPr>
          <w:rFonts w:asciiTheme="minorHAnsi" w:hAnsiTheme="minorHAnsi" w:cstheme="minorHAnsi"/>
          <w:color w:val="201F1E"/>
          <w:szCs w:val="24"/>
          <w:bdr w:val="none" w:sz="0" w:space="0" w:color="auto" w:frame="1"/>
        </w:rPr>
        <w:t>all contracted RA</w:t>
      </w:r>
      <w:r w:rsidR="00C66B22" w:rsidRPr="00B52538">
        <w:rPr>
          <w:rFonts w:asciiTheme="minorHAnsi" w:hAnsiTheme="minorHAnsi" w:cstheme="minorHAnsi"/>
          <w:color w:val="201F1E"/>
          <w:szCs w:val="24"/>
          <w:bdr w:val="none" w:sz="0" w:space="0" w:color="auto" w:frame="1"/>
        </w:rPr>
        <w:t xml:space="preserve"> capacity</w:t>
      </w:r>
      <w:r w:rsidRPr="00B52538">
        <w:rPr>
          <w:rFonts w:asciiTheme="minorHAnsi" w:hAnsiTheme="minorHAnsi" w:cstheme="minorHAnsi"/>
          <w:color w:val="201F1E"/>
          <w:szCs w:val="24"/>
          <w:bdr w:val="none" w:sz="0" w:space="0" w:color="auto" w:frame="1"/>
        </w:rPr>
        <w:t xml:space="preserve"> on the year ahead</w:t>
      </w:r>
      <w:r w:rsidR="00C66B22" w:rsidRPr="00B52538">
        <w:rPr>
          <w:rFonts w:asciiTheme="minorHAnsi" w:hAnsiTheme="minorHAnsi" w:cstheme="minorHAnsi"/>
          <w:color w:val="201F1E"/>
          <w:szCs w:val="24"/>
          <w:bdr w:val="none" w:sz="0" w:space="0" w:color="auto" w:frame="1"/>
        </w:rPr>
        <w:t xml:space="preserve"> and </w:t>
      </w:r>
      <w:r w:rsidRPr="00B52538">
        <w:rPr>
          <w:rFonts w:asciiTheme="minorHAnsi" w:hAnsiTheme="minorHAnsi" w:cstheme="minorHAnsi"/>
          <w:color w:val="201F1E"/>
          <w:szCs w:val="24"/>
          <w:bdr w:val="none" w:sz="0" w:space="0" w:color="auto" w:frame="1"/>
        </w:rPr>
        <w:t xml:space="preserve">month ahead </w:t>
      </w:r>
      <w:r w:rsidR="00C66B22" w:rsidRPr="00B52538">
        <w:rPr>
          <w:rFonts w:asciiTheme="minorHAnsi" w:hAnsiTheme="minorHAnsi" w:cstheme="minorHAnsi"/>
          <w:color w:val="201F1E"/>
          <w:szCs w:val="24"/>
          <w:bdr w:val="none" w:sz="0" w:space="0" w:color="auto" w:frame="1"/>
        </w:rPr>
        <w:t xml:space="preserve">CPUC RA </w:t>
      </w:r>
      <w:r w:rsidRPr="00B52538">
        <w:rPr>
          <w:rFonts w:asciiTheme="minorHAnsi" w:hAnsiTheme="minorHAnsi" w:cstheme="minorHAnsi"/>
          <w:color w:val="201F1E"/>
          <w:szCs w:val="24"/>
          <w:bdr w:val="none" w:sz="0" w:space="0" w:color="auto" w:frame="1"/>
        </w:rPr>
        <w:t xml:space="preserve">filings must be supported by </w:t>
      </w:r>
      <w:r w:rsidR="00987D6A">
        <w:rPr>
          <w:rFonts w:asciiTheme="minorHAnsi" w:hAnsiTheme="minorHAnsi" w:cstheme="minorHAnsi"/>
          <w:color w:val="201F1E"/>
          <w:szCs w:val="24"/>
          <w:bdr w:val="none" w:sz="0" w:space="0" w:color="auto" w:frame="1"/>
        </w:rPr>
        <w:t>ED</w:t>
      </w:r>
      <w:r w:rsidR="00362158">
        <w:rPr>
          <w:rFonts w:asciiTheme="minorHAnsi" w:hAnsiTheme="minorHAnsi" w:cstheme="minorHAnsi"/>
          <w:color w:val="201F1E"/>
          <w:szCs w:val="24"/>
          <w:bdr w:val="none" w:sz="0" w:space="0" w:color="auto" w:frame="1"/>
        </w:rPr>
        <w:t>-</w:t>
      </w:r>
      <w:r w:rsidR="00987D6A">
        <w:rPr>
          <w:rFonts w:asciiTheme="minorHAnsi" w:hAnsiTheme="minorHAnsi" w:cstheme="minorHAnsi"/>
          <w:color w:val="201F1E"/>
          <w:szCs w:val="24"/>
          <w:bdr w:val="none" w:sz="0" w:space="0" w:color="auto" w:frame="1"/>
        </w:rPr>
        <w:t xml:space="preserve">approved QC values established </w:t>
      </w:r>
      <w:r w:rsidR="004B227C">
        <w:rPr>
          <w:rFonts w:asciiTheme="minorHAnsi" w:hAnsiTheme="minorHAnsi" w:cstheme="minorHAnsi"/>
          <w:color w:val="201F1E"/>
          <w:szCs w:val="24"/>
          <w:bdr w:val="none" w:sz="0" w:space="0" w:color="auto" w:frame="1"/>
        </w:rPr>
        <w:t>for the contracted year</w:t>
      </w:r>
      <w:r w:rsidR="004E32C3">
        <w:rPr>
          <w:rFonts w:asciiTheme="minorHAnsi" w:hAnsiTheme="minorHAnsi" w:cstheme="minorHAnsi"/>
          <w:color w:val="201F1E"/>
          <w:szCs w:val="24"/>
          <w:bdr w:val="none" w:sz="0" w:space="0" w:color="auto" w:frame="1"/>
        </w:rPr>
        <w:t xml:space="preserve"> (N)</w:t>
      </w:r>
      <w:r w:rsidR="00894D50">
        <w:rPr>
          <w:rFonts w:asciiTheme="minorHAnsi" w:hAnsiTheme="minorHAnsi" w:cstheme="minorHAnsi"/>
          <w:color w:val="201F1E"/>
          <w:szCs w:val="24"/>
          <w:bdr w:val="none" w:sz="0" w:space="0" w:color="auto" w:frame="1"/>
        </w:rPr>
        <w:t xml:space="preserve"> </w:t>
      </w:r>
      <w:r w:rsidR="004E32C3">
        <w:rPr>
          <w:rFonts w:asciiTheme="minorHAnsi" w:hAnsiTheme="minorHAnsi" w:cstheme="minorHAnsi"/>
          <w:color w:val="201F1E"/>
          <w:szCs w:val="24"/>
          <w:bdr w:val="none" w:sz="0" w:space="0" w:color="auto" w:frame="1"/>
        </w:rPr>
        <w:t xml:space="preserve">via a </w:t>
      </w:r>
      <w:r w:rsidR="004E32C3" w:rsidRPr="00B52538">
        <w:rPr>
          <w:rFonts w:asciiTheme="minorHAnsi" w:hAnsiTheme="minorHAnsi" w:cstheme="minorHAnsi"/>
          <w:color w:val="201F1E"/>
          <w:szCs w:val="24"/>
          <w:bdr w:val="none" w:sz="0" w:space="0" w:color="auto" w:frame="1"/>
        </w:rPr>
        <w:t xml:space="preserve">completed </w:t>
      </w:r>
      <w:r w:rsidR="004E32C3">
        <w:rPr>
          <w:rFonts w:asciiTheme="minorHAnsi" w:hAnsiTheme="minorHAnsi" w:cstheme="minorHAnsi"/>
          <w:color w:val="201F1E"/>
          <w:szCs w:val="24"/>
          <w:bdr w:val="none" w:sz="0" w:space="0" w:color="auto" w:frame="1"/>
        </w:rPr>
        <w:t xml:space="preserve">process </w:t>
      </w:r>
      <w:r w:rsidR="00894D50">
        <w:rPr>
          <w:rFonts w:asciiTheme="minorHAnsi" w:hAnsiTheme="minorHAnsi" w:cstheme="minorHAnsi"/>
          <w:color w:val="201F1E"/>
          <w:szCs w:val="24"/>
          <w:bdr w:val="none" w:sz="0" w:space="0" w:color="auto" w:frame="1"/>
        </w:rPr>
        <w:t>in the prior year (N-1)</w:t>
      </w:r>
      <w:r w:rsidRPr="00B52538">
        <w:rPr>
          <w:rFonts w:asciiTheme="minorHAnsi" w:hAnsiTheme="minorHAnsi" w:cstheme="minorHAnsi"/>
          <w:color w:val="201F1E"/>
          <w:szCs w:val="24"/>
          <w:bdr w:val="none" w:sz="0" w:space="0" w:color="auto" w:frame="1"/>
        </w:rPr>
        <w:t>.</w:t>
      </w:r>
      <w:r w:rsidR="004E32C3">
        <w:rPr>
          <w:rFonts w:asciiTheme="minorHAnsi" w:hAnsiTheme="minorHAnsi" w:cstheme="minorHAnsi"/>
          <w:color w:val="201F1E"/>
          <w:szCs w:val="24"/>
          <w:bdr w:val="none" w:sz="0" w:space="0" w:color="auto" w:frame="1"/>
        </w:rPr>
        <w:t xml:space="preserve"> </w:t>
      </w:r>
    </w:p>
    <w:p w14:paraId="71F2BD2C" w14:textId="063B6A4B"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30697CD7" w14:textId="5EFC0116" w:rsidR="00C66B22" w:rsidRPr="00B52538" w:rsidRDefault="00C66B22" w:rsidP="00874FCB">
      <w:pPr>
        <w:overflowPunct/>
        <w:autoSpaceDE/>
        <w:autoSpaceDN/>
        <w:adjustRightInd/>
        <w:ind w:left="180"/>
        <w:textAlignment w:val="auto"/>
        <w:rPr>
          <w:rFonts w:asciiTheme="minorHAnsi" w:hAnsiTheme="minorHAnsi" w:cstheme="minorHAnsi"/>
          <w:color w:val="201F1E"/>
          <w:szCs w:val="24"/>
          <w:bdr w:val="none" w:sz="0" w:space="0" w:color="auto" w:frame="1"/>
        </w:rPr>
      </w:pPr>
      <w:r w:rsidRPr="00B52538">
        <w:rPr>
          <w:rFonts w:asciiTheme="minorHAnsi" w:hAnsiTheme="minorHAnsi" w:cstheme="minorHAnsi"/>
          <w:color w:val="201F1E"/>
          <w:szCs w:val="24"/>
          <w:bdr w:val="none" w:sz="0" w:space="0" w:color="auto" w:frame="1"/>
        </w:rPr>
        <w:t xml:space="preserve">The process and timeline for completing </w:t>
      </w:r>
      <w:r w:rsidR="00B52538" w:rsidRPr="00B52538">
        <w:rPr>
          <w:rFonts w:asciiTheme="minorHAnsi" w:hAnsiTheme="minorHAnsi" w:cstheme="minorHAnsi"/>
          <w:color w:val="201F1E"/>
          <w:szCs w:val="24"/>
          <w:bdr w:val="none" w:sz="0" w:space="0" w:color="auto" w:frame="1"/>
        </w:rPr>
        <w:t xml:space="preserve">the Load </w:t>
      </w:r>
      <w:r w:rsidR="004C5B27" w:rsidRPr="00B52538">
        <w:rPr>
          <w:rFonts w:asciiTheme="minorHAnsi" w:hAnsiTheme="minorHAnsi" w:cstheme="minorHAnsi"/>
          <w:color w:val="201F1E"/>
          <w:szCs w:val="24"/>
          <w:bdr w:val="none" w:sz="0" w:space="0" w:color="auto" w:frame="1"/>
        </w:rPr>
        <w:t>Impact</w:t>
      </w:r>
      <w:r w:rsidR="00B52538" w:rsidRPr="00B52538">
        <w:rPr>
          <w:rFonts w:asciiTheme="minorHAnsi" w:hAnsiTheme="minorHAnsi" w:cstheme="minorHAnsi"/>
          <w:color w:val="201F1E"/>
          <w:szCs w:val="24"/>
          <w:bdr w:val="none" w:sz="0" w:space="0" w:color="auto" w:frame="1"/>
        </w:rPr>
        <w:t xml:space="preserve"> </w:t>
      </w:r>
      <w:r w:rsidR="001F4544">
        <w:rPr>
          <w:rFonts w:asciiTheme="minorHAnsi" w:hAnsiTheme="minorHAnsi" w:cstheme="minorHAnsi"/>
          <w:color w:val="201F1E"/>
          <w:szCs w:val="24"/>
          <w:bdr w:val="none" w:sz="0" w:space="0" w:color="auto" w:frame="1"/>
        </w:rPr>
        <w:t>P</w:t>
      </w:r>
      <w:r w:rsidR="00B52538" w:rsidRPr="00B52538">
        <w:rPr>
          <w:rFonts w:asciiTheme="minorHAnsi" w:hAnsiTheme="minorHAnsi" w:cstheme="minorHAnsi"/>
          <w:color w:val="201F1E"/>
          <w:szCs w:val="24"/>
          <w:bdr w:val="none" w:sz="0" w:space="0" w:color="auto" w:frame="1"/>
        </w:rPr>
        <w:t xml:space="preserve">rotocols </w:t>
      </w:r>
      <w:r w:rsidR="00B13AB4">
        <w:rPr>
          <w:rFonts w:asciiTheme="minorHAnsi" w:hAnsiTheme="minorHAnsi" w:cstheme="minorHAnsi"/>
          <w:color w:val="201F1E"/>
          <w:szCs w:val="24"/>
          <w:bdr w:val="none" w:sz="0" w:space="0" w:color="auto" w:frame="1"/>
        </w:rPr>
        <w:t>are</w:t>
      </w:r>
      <w:r w:rsidR="00B52538" w:rsidRPr="00B52538">
        <w:rPr>
          <w:rFonts w:asciiTheme="minorHAnsi" w:hAnsiTheme="minorHAnsi" w:cstheme="minorHAnsi"/>
          <w:color w:val="201F1E"/>
          <w:szCs w:val="24"/>
          <w:bdr w:val="none" w:sz="0" w:space="0" w:color="auto" w:frame="1"/>
        </w:rPr>
        <w:t xml:space="preserve"> detailed in Table 1</w:t>
      </w:r>
      <w:r w:rsidR="005117AE">
        <w:rPr>
          <w:rFonts w:asciiTheme="minorHAnsi" w:hAnsiTheme="minorHAnsi" w:cstheme="minorHAnsi"/>
          <w:color w:val="201F1E"/>
          <w:szCs w:val="24"/>
          <w:bdr w:val="none" w:sz="0" w:space="0" w:color="auto" w:frame="1"/>
        </w:rPr>
        <w:t xml:space="preserve">. </w:t>
      </w:r>
      <w:r w:rsidR="00B13AB4">
        <w:rPr>
          <w:rFonts w:asciiTheme="minorHAnsi" w:hAnsiTheme="minorHAnsi" w:cstheme="minorHAnsi"/>
          <w:color w:val="201F1E"/>
          <w:szCs w:val="24"/>
          <w:bdr w:val="none" w:sz="0" w:space="0" w:color="auto" w:frame="1"/>
        </w:rPr>
        <w:t>Additional</w:t>
      </w:r>
      <w:r w:rsidR="005117AE">
        <w:rPr>
          <w:rFonts w:asciiTheme="minorHAnsi" w:hAnsiTheme="minorHAnsi" w:cstheme="minorHAnsi"/>
          <w:color w:val="201F1E"/>
          <w:szCs w:val="24"/>
          <w:bdr w:val="none" w:sz="0" w:space="0" w:color="auto" w:frame="1"/>
        </w:rPr>
        <w:t xml:space="preserve"> details on the specifics of the protocols and potential modifications can be found in </w:t>
      </w:r>
      <w:r w:rsidR="00B13AB4">
        <w:rPr>
          <w:rFonts w:asciiTheme="minorHAnsi" w:hAnsiTheme="minorHAnsi" w:cstheme="minorHAnsi"/>
          <w:color w:val="201F1E"/>
          <w:szCs w:val="24"/>
          <w:bdr w:val="none" w:sz="0" w:space="0" w:color="auto" w:frame="1"/>
        </w:rPr>
        <w:t>A</w:t>
      </w:r>
      <w:r w:rsidR="005117AE">
        <w:rPr>
          <w:rFonts w:asciiTheme="minorHAnsi" w:hAnsiTheme="minorHAnsi" w:cstheme="minorHAnsi"/>
          <w:color w:val="201F1E"/>
          <w:szCs w:val="24"/>
          <w:bdr w:val="none" w:sz="0" w:space="0" w:color="auto" w:frame="1"/>
        </w:rPr>
        <w:t xml:space="preserve">ttachment 1. </w:t>
      </w:r>
      <w:r w:rsidR="004C5B27">
        <w:rPr>
          <w:rFonts w:asciiTheme="minorHAnsi" w:hAnsiTheme="minorHAnsi" w:cstheme="minorHAnsi"/>
          <w:color w:val="201F1E"/>
          <w:szCs w:val="24"/>
          <w:bdr w:val="none" w:sz="0" w:space="0" w:color="auto" w:frame="1"/>
        </w:rPr>
        <w:t xml:space="preserve">Parties offering </w:t>
      </w:r>
      <w:r w:rsidR="00362158">
        <w:rPr>
          <w:rFonts w:asciiTheme="minorHAnsi" w:hAnsiTheme="minorHAnsi" w:cstheme="minorHAnsi"/>
          <w:color w:val="201F1E"/>
          <w:szCs w:val="24"/>
          <w:bdr w:val="none" w:sz="0" w:space="0" w:color="auto" w:frame="1"/>
        </w:rPr>
        <w:t>DR</w:t>
      </w:r>
      <w:r w:rsidR="004C5B27">
        <w:rPr>
          <w:rFonts w:asciiTheme="minorHAnsi" w:hAnsiTheme="minorHAnsi" w:cstheme="minorHAnsi"/>
          <w:color w:val="201F1E"/>
          <w:szCs w:val="24"/>
          <w:bdr w:val="none" w:sz="0" w:space="0" w:color="auto" w:frame="1"/>
        </w:rPr>
        <w:t xml:space="preserve"> resources into current and future solicitations are </w:t>
      </w:r>
      <w:r w:rsidR="005515AE">
        <w:rPr>
          <w:rFonts w:asciiTheme="minorHAnsi" w:hAnsiTheme="minorHAnsi" w:cstheme="minorHAnsi"/>
          <w:color w:val="201F1E"/>
          <w:szCs w:val="24"/>
          <w:bdr w:val="none" w:sz="0" w:space="0" w:color="auto" w:frame="1"/>
        </w:rPr>
        <w:t>a</w:t>
      </w:r>
      <w:r w:rsidR="004C5B27" w:rsidRPr="004C5B27">
        <w:rPr>
          <w:rFonts w:asciiTheme="minorHAnsi" w:hAnsiTheme="minorHAnsi" w:cstheme="minorHAnsi"/>
          <w:color w:val="201F1E"/>
          <w:szCs w:val="24"/>
          <w:bdr w:val="none" w:sz="0" w:space="0" w:color="auto" w:frame="1"/>
        </w:rPr>
        <w:t>dvise</w:t>
      </w:r>
      <w:r w:rsidR="005515AE">
        <w:rPr>
          <w:rFonts w:asciiTheme="minorHAnsi" w:hAnsiTheme="minorHAnsi" w:cstheme="minorHAnsi"/>
          <w:color w:val="201F1E"/>
          <w:szCs w:val="24"/>
          <w:bdr w:val="none" w:sz="0" w:space="0" w:color="auto" w:frame="1"/>
        </w:rPr>
        <w:t xml:space="preserve">d </w:t>
      </w:r>
      <w:r w:rsidR="004C5B27" w:rsidRPr="004C5B27">
        <w:rPr>
          <w:rFonts w:asciiTheme="minorHAnsi" w:hAnsiTheme="minorHAnsi" w:cstheme="minorHAnsi"/>
          <w:color w:val="201F1E"/>
          <w:szCs w:val="24"/>
          <w:bdr w:val="none" w:sz="0" w:space="0" w:color="auto" w:frame="1"/>
        </w:rPr>
        <w:t>to complete their LIPs in anticipation of any future solicitations of interest.</w:t>
      </w:r>
    </w:p>
    <w:p w14:paraId="0D032B48" w14:textId="4DA03356"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15DE3D57" w14:textId="09E3F6F2"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09854835" w14:textId="592FC5C3"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18C29FA3" w14:textId="7D72E2DD"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3B763065" w14:textId="402B7320"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5DEC63B2" w14:textId="50B99208"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7A242C19" w14:textId="58BCAA33"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58DA4EC0" w14:textId="4A0C0EFD"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4BA7E7AF" w14:textId="0370145F"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6AA9F20D" w14:textId="14B7C866" w:rsidR="00C66B22" w:rsidRDefault="00C66B22" w:rsidP="00874FCB">
      <w:pPr>
        <w:overflowPunct/>
        <w:autoSpaceDE/>
        <w:autoSpaceDN/>
        <w:adjustRightInd/>
        <w:ind w:left="180"/>
        <w:textAlignment w:val="auto"/>
        <w:rPr>
          <w:rFonts w:asciiTheme="minorHAnsi" w:hAnsiTheme="minorHAnsi" w:cstheme="minorHAnsi"/>
          <w:szCs w:val="24"/>
          <w:shd w:val="clear" w:color="auto" w:fill="FAF9F8"/>
        </w:rPr>
      </w:pPr>
    </w:p>
    <w:tbl>
      <w:tblPr>
        <w:tblW w:w="10598" w:type="dxa"/>
        <w:tblInd w:w="-118" w:type="dxa"/>
        <w:tblCellMar>
          <w:left w:w="0" w:type="dxa"/>
          <w:right w:w="0" w:type="dxa"/>
        </w:tblCellMar>
        <w:tblLook w:val="04A0" w:firstRow="1" w:lastRow="0" w:firstColumn="1" w:lastColumn="0" w:noHBand="0" w:noVBand="1"/>
      </w:tblPr>
      <w:tblGrid>
        <w:gridCol w:w="6490"/>
        <w:gridCol w:w="2098"/>
        <w:gridCol w:w="2010"/>
      </w:tblGrid>
      <w:tr w:rsidR="00C66B22" w14:paraId="60EC5839" w14:textId="77777777" w:rsidTr="00920680">
        <w:tc>
          <w:tcPr>
            <w:tcW w:w="1059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6DDE0D" w14:textId="518E4A11" w:rsidR="00C66B22" w:rsidRDefault="00C66B22">
            <w:pPr>
              <w:pStyle w:val="NormalWeb"/>
              <w:spacing w:before="0" w:beforeAutospacing="0" w:after="0" w:afterAutospacing="0"/>
              <w:ind w:left="270" w:firstLine="3"/>
              <w:jc w:val="center"/>
              <w:rPr>
                <w:rFonts w:ascii="Calibri" w:hAnsi="Calibri" w:cs="Calibri"/>
                <w:sz w:val="22"/>
                <w:szCs w:val="22"/>
              </w:rPr>
            </w:pPr>
            <w:r w:rsidRPr="001A56B7">
              <w:rPr>
                <w:rFonts w:ascii="Calibri" w:hAnsi="Calibri" w:cs="Calibri"/>
                <w:b/>
                <w:bCs/>
                <w:sz w:val="23"/>
                <w:szCs w:val="23"/>
              </w:rPr>
              <w:t xml:space="preserve">Table 1: </w:t>
            </w:r>
            <w:r w:rsidR="004C5B27" w:rsidRPr="001A56B7">
              <w:rPr>
                <w:rFonts w:ascii="Calibri" w:hAnsi="Calibri" w:cs="Calibri"/>
                <w:b/>
                <w:bCs/>
                <w:sz w:val="23"/>
                <w:szCs w:val="23"/>
              </w:rPr>
              <w:t>Final</w:t>
            </w:r>
            <w:r w:rsidRPr="001A56B7">
              <w:rPr>
                <w:rFonts w:ascii="Calibri" w:hAnsi="Calibri" w:cs="Calibri"/>
                <w:b/>
                <w:bCs/>
                <w:sz w:val="23"/>
                <w:szCs w:val="23"/>
              </w:rPr>
              <w:t xml:space="preserve"> Process </w:t>
            </w:r>
            <w:r>
              <w:rPr>
                <w:rFonts w:ascii="Calibri" w:hAnsi="Calibri" w:cs="Calibri"/>
                <w:b/>
                <w:bCs/>
                <w:sz w:val="23"/>
                <w:szCs w:val="23"/>
              </w:rPr>
              <w:t>and Schedule for Obtaining Qualifying Capacity (QC) for Demand Response (DR) Resources Through Load Impact Protocols (LIPs)</w:t>
            </w:r>
          </w:p>
        </w:tc>
      </w:tr>
      <w:tr w:rsidR="00D97160" w14:paraId="59B54913" w14:textId="77777777" w:rsidTr="00920680">
        <w:trPr>
          <w:trHeight w:val="97"/>
        </w:trPr>
        <w:tc>
          <w:tcPr>
            <w:tcW w:w="6490" w:type="dxa"/>
            <w:tcBorders>
              <w:top w:val="nil"/>
              <w:left w:val="single" w:sz="8" w:space="0" w:color="auto"/>
              <w:bottom w:val="nil"/>
              <w:right w:val="double" w:sz="12" w:space="0" w:color="auto"/>
            </w:tcBorders>
            <w:shd w:val="clear" w:color="auto" w:fill="808080"/>
            <w:tcMar>
              <w:top w:w="0" w:type="dxa"/>
              <w:left w:w="108" w:type="dxa"/>
              <w:bottom w:w="0" w:type="dxa"/>
              <w:right w:w="108" w:type="dxa"/>
            </w:tcMar>
            <w:hideMark/>
          </w:tcPr>
          <w:p w14:paraId="66016D71" w14:textId="77777777" w:rsidR="00D97160" w:rsidRDefault="00D97160">
            <w:pPr>
              <w:pStyle w:val="NormalWeb"/>
              <w:spacing w:before="0" w:beforeAutospacing="0" w:after="0" w:afterAutospacing="0"/>
              <w:ind w:left="270"/>
              <w:jc w:val="center"/>
              <w:rPr>
                <w:rFonts w:ascii="Calibri" w:hAnsi="Calibri" w:cs="Calibri"/>
                <w:sz w:val="22"/>
                <w:szCs w:val="22"/>
              </w:rPr>
            </w:pPr>
            <w:r>
              <w:rPr>
                <w:rFonts w:ascii="Calibri" w:hAnsi="Calibri" w:cs="Calibri"/>
                <w:sz w:val="23"/>
                <w:szCs w:val="23"/>
              </w:rPr>
              <w:t> </w:t>
            </w:r>
          </w:p>
        </w:tc>
        <w:tc>
          <w:tcPr>
            <w:tcW w:w="2098" w:type="dxa"/>
            <w:vMerge w:val="restart"/>
            <w:tcBorders>
              <w:top w:val="nil"/>
              <w:left w:val="nil"/>
              <w:right w:val="single" w:sz="8" w:space="0" w:color="auto"/>
            </w:tcBorders>
            <w:shd w:val="clear" w:color="auto" w:fill="E7E6E6" w:themeFill="background2"/>
            <w:vAlign w:val="center"/>
            <w:hideMark/>
          </w:tcPr>
          <w:p w14:paraId="1573797F" w14:textId="424A5841" w:rsidR="00D97160" w:rsidRPr="00604A73" w:rsidRDefault="00D97160" w:rsidP="00920680">
            <w:pPr>
              <w:pStyle w:val="NormalWeb"/>
              <w:spacing w:before="0" w:after="0"/>
              <w:ind w:right="70"/>
              <w:jc w:val="center"/>
              <w:rPr>
                <w:rFonts w:ascii="Calibri" w:hAnsi="Calibri" w:cs="Calibri"/>
                <w:color w:val="FF0000"/>
                <w:sz w:val="22"/>
                <w:szCs w:val="22"/>
              </w:rPr>
            </w:pPr>
            <w:r w:rsidRPr="00920680">
              <w:rPr>
                <w:rFonts w:ascii="Calibri" w:hAnsi="Calibri" w:cs="Calibri"/>
                <w:b/>
                <w:bCs/>
                <w:color w:val="000000"/>
                <w:sz w:val="23"/>
                <w:szCs w:val="23"/>
              </w:rPr>
              <w:t xml:space="preserve">    IOUs</w:t>
            </w:r>
          </w:p>
        </w:tc>
        <w:tc>
          <w:tcPr>
            <w:tcW w:w="2008" w:type="dxa"/>
            <w:vMerge w:val="restart"/>
            <w:tcBorders>
              <w:top w:val="nil"/>
              <w:left w:val="nil"/>
              <w:right w:val="single" w:sz="8" w:space="0" w:color="auto"/>
            </w:tcBorders>
            <w:shd w:val="clear" w:color="auto" w:fill="E7E6E6" w:themeFill="background2"/>
            <w:vAlign w:val="center"/>
          </w:tcPr>
          <w:p w14:paraId="5FD06B67" w14:textId="50379574" w:rsidR="00D97160" w:rsidRPr="00604A73" w:rsidRDefault="00D97160" w:rsidP="00D97160">
            <w:pPr>
              <w:pStyle w:val="NormalWeb"/>
              <w:spacing w:before="0" w:after="0"/>
              <w:ind w:right="70"/>
              <w:jc w:val="center"/>
              <w:rPr>
                <w:rFonts w:ascii="Calibri" w:hAnsi="Calibri" w:cs="Calibri"/>
                <w:color w:val="FF0000"/>
                <w:sz w:val="22"/>
                <w:szCs w:val="22"/>
              </w:rPr>
            </w:pPr>
            <w:r>
              <w:rPr>
                <w:rFonts w:ascii="Calibri" w:hAnsi="Calibri" w:cs="Calibri"/>
                <w:b/>
                <w:bCs/>
                <w:color w:val="000000"/>
                <w:sz w:val="23"/>
                <w:szCs w:val="23"/>
              </w:rPr>
              <w:t>DRPs</w:t>
            </w:r>
          </w:p>
        </w:tc>
      </w:tr>
      <w:tr w:rsidR="00D97160" w14:paraId="70DD3633" w14:textId="77777777" w:rsidTr="00920680">
        <w:trPr>
          <w:trHeight w:val="458"/>
        </w:trPr>
        <w:tc>
          <w:tcPr>
            <w:tcW w:w="6490" w:type="dxa"/>
            <w:vMerge w:val="restart"/>
            <w:tcBorders>
              <w:top w:val="nil"/>
              <w:left w:val="single" w:sz="8" w:space="0" w:color="auto"/>
              <w:bottom w:val="single" w:sz="8" w:space="0" w:color="auto"/>
              <w:right w:val="double" w:sz="12" w:space="0" w:color="auto"/>
            </w:tcBorders>
            <w:shd w:val="clear" w:color="auto" w:fill="808080"/>
            <w:tcMar>
              <w:top w:w="0" w:type="dxa"/>
              <w:left w:w="108" w:type="dxa"/>
              <w:bottom w:w="0" w:type="dxa"/>
              <w:right w:w="108" w:type="dxa"/>
            </w:tcMar>
            <w:hideMark/>
          </w:tcPr>
          <w:p w14:paraId="1AC14502" w14:textId="77777777" w:rsidR="00D97160" w:rsidRDefault="00D97160">
            <w:pPr>
              <w:pStyle w:val="NormalWeb"/>
              <w:spacing w:before="0" w:beforeAutospacing="0" w:after="0" w:afterAutospacing="0"/>
              <w:ind w:left="270"/>
              <w:jc w:val="center"/>
              <w:rPr>
                <w:rFonts w:ascii="Calibri" w:hAnsi="Calibri" w:cs="Calibri"/>
                <w:sz w:val="22"/>
                <w:szCs w:val="22"/>
              </w:rPr>
            </w:pPr>
            <w:r>
              <w:rPr>
                <w:rFonts w:ascii="Calibri" w:hAnsi="Calibri" w:cs="Calibri"/>
                <w:sz w:val="23"/>
                <w:szCs w:val="23"/>
              </w:rPr>
              <w:t> </w:t>
            </w:r>
          </w:p>
        </w:tc>
        <w:tc>
          <w:tcPr>
            <w:tcW w:w="2098" w:type="dxa"/>
            <w:vMerge/>
            <w:tcBorders>
              <w:left w:val="nil"/>
              <w:bottom w:val="single" w:sz="8" w:space="0" w:color="auto"/>
              <w:right w:val="single" w:sz="8" w:space="0" w:color="auto"/>
            </w:tcBorders>
            <w:shd w:val="clear" w:color="auto" w:fill="D9D9D9"/>
            <w:hideMark/>
          </w:tcPr>
          <w:p w14:paraId="03810ECF" w14:textId="42574FD1" w:rsidR="00D97160" w:rsidRDefault="00D97160" w:rsidP="004E1973">
            <w:pPr>
              <w:pStyle w:val="NormalWeb"/>
              <w:spacing w:before="0" w:beforeAutospacing="0" w:after="0" w:afterAutospacing="0"/>
              <w:ind w:firstLine="3"/>
              <w:jc w:val="center"/>
              <w:rPr>
                <w:rFonts w:ascii="Calibri" w:hAnsi="Calibri" w:cs="Calibri"/>
                <w:sz w:val="22"/>
                <w:szCs w:val="22"/>
              </w:rPr>
            </w:pPr>
          </w:p>
        </w:tc>
        <w:tc>
          <w:tcPr>
            <w:tcW w:w="2008" w:type="dxa"/>
            <w:vMerge/>
            <w:tcBorders>
              <w:left w:val="nil"/>
              <w:bottom w:val="single" w:sz="8" w:space="0" w:color="auto"/>
              <w:right w:val="single" w:sz="8" w:space="0" w:color="auto"/>
            </w:tcBorders>
            <w:shd w:val="clear" w:color="auto" w:fill="D9D9D9"/>
            <w:hideMark/>
          </w:tcPr>
          <w:p w14:paraId="0921CDB4" w14:textId="245F0D45" w:rsidR="00D97160" w:rsidRDefault="00D97160" w:rsidP="004E1973">
            <w:pPr>
              <w:pStyle w:val="NormalWeb"/>
              <w:spacing w:before="0" w:beforeAutospacing="0" w:after="0" w:afterAutospacing="0"/>
              <w:ind w:left="31" w:right="70" w:firstLine="3"/>
              <w:jc w:val="center"/>
              <w:rPr>
                <w:rFonts w:ascii="Calibri" w:hAnsi="Calibri" w:cs="Calibri"/>
                <w:sz w:val="22"/>
                <w:szCs w:val="22"/>
              </w:rPr>
            </w:pPr>
          </w:p>
        </w:tc>
      </w:tr>
      <w:tr w:rsidR="00C66B22" w14:paraId="5ED6D140" w14:textId="77777777" w:rsidTr="00920680">
        <w:tc>
          <w:tcPr>
            <w:tcW w:w="6490" w:type="dxa"/>
            <w:vMerge/>
            <w:tcBorders>
              <w:top w:val="nil"/>
              <w:left w:val="single" w:sz="8" w:space="0" w:color="auto"/>
              <w:bottom w:val="single" w:sz="8" w:space="0" w:color="auto"/>
              <w:right w:val="double" w:sz="12" w:space="0" w:color="auto"/>
            </w:tcBorders>
            <w:vAlign w:val="center"/>
            <w:hideMark/>
          </w:tcPr>
          <w:p w14:paraId="71752B20" w14:textId="77777777" w:rsidR="00C66B22" w:rsidRDefault="00C66B22">
            <w:pPr>
              <w:rPr>
                <w:rFonts w:ascii="Calibri" w:hAnsi="Calibri" w:cs="Calibri"/>
                <w:sz w:val="22"/>
                <w:szCs w:val="22"/>
              </w:rPr>
            </w:pPr>
          </w:p>
        </w:tc>
        <w:tc>
          <w:tcPr>
            <w:tcW w:w="2098" w:type="dxa"/>
            <w:tcBorders>
              <w:top w:val="nil"/>
              <w:left w:val="nil"/>
              <w:bottom w:val="single" w:sz="8" w:space="0" w:color="auto"/>
              <w:right w:val="single" w:sz="8" w:space="0" w:color="auto"/>
            </w:tcBorders>
            <w:shd w:val="clear" w:color="auto" w:fill="FFFFFF"/>
            <w:hideMark/>
          </w:tcPr>
          <w:p w14:paraId="37045A58" w14:textId="77777777" w:rsidR="00C66B22" w:rsidRDefault="00C66B22" w:rsidP="004E1973">
            <w:pPr>
              <w:pStyle w:val="NormalWeb"/>
              <w:spacing w:before="0" w:beforeAutospacing="0" w:after="0" w:afterAutospacing="0"/>
              <w:ind w:firstLine="15"/>
              <w:jc w:val="center"/>
              <w:rPr>
                <w:rFonts w:ascii="Calibri" w:hAnsi="Calibri" w:cs="Calibri"/>
                <w:sz w:val="22"/>
                <w:szCs w:val="22"/>
              </w:rPr>
            </w:pPr>
            <w:r>
              <w:rPr>
                <w:rFonts w:ascii="Calibri" w:hAnsi="Calibri" w:cs="Calibri"/>
                <w:b/>
                <w:bCs/>
                <w:color w:val="000000"/>
                <w:sz w:val="23"/>
                <w:szCs w:val="23"/>
              </w:rPr>
              <w:t>2021+ RA Year</w:t>
            </w:r>
          </w:p>
        </w:tc>
        <w:tc>
          <w:tcPr>
            <w:tcW w:w="2008" w:type="dxa"/>
            <w:tcBorders>
              <w:top w:val="nil"/>
              <w:left w:val="nil"/>
              <w:bottom w:val="single" w:sz="8" w:space="0" w:color="auto"/>
              <w:right w:val="single" w:sz="8" w:space="0" w:color="auto"/>
            </w:tcBorders>
            <w:shd w:val="clear" w:color="auto" w:fill="FFFFFF"/>
            <w:hideMark/>
          </w:tcPr>
          <w:p w14:paraId="3D0AB537" w14:textId="39289440" w:rsidR="00C66B22" w:rsidRDefault="00C66B22" w:rsidP="004E1973">
            <w:pPr>
              <w:pStyle w:val="NormalWeb"/>
              <w:spacing w:before="0" w:beforeAutospacing="0" w:after="0" w:afterAutospacing="0"/>
              <w:ind w:left="31" w:right="70" w:firstLine="3"/>
              <w:jc w:val="center"/>
              <w:rPr>
                <w:rFonts w:ascii="Calibri" w:hAnsi="Calibri" w:cs="Calibri"/>
                <w:sz w:val="22"/>
                <w:szCs w:val="22"/>
              </w:rPr>
            </w:pPr>
            <w:r>
              <w:rPr>
                <w:rFonts w:ascii="Calibri" w:hAnsi="Calibri" w:cs="Calibri"/>
                <w:b/>
                <w:bCs/>
                <w:color w:val="000000"/>
                <w:sz w:val="23"/>
                <w:szCs w:val="23"/>
              </w:rPr>
              <w:t>2021 RA Year Only</w:t>
            </w:r>
          </w:p>
        </w:tc>
      </w:tr>
      <w:tr w:rsidR="00C66B22" w14:paraId="14C2D7E1" w14:textId="77777777" w:rsidTr="00920680">
        <w:tc>
          <w:tcPr>
            <w:tcW w:w="6490" w:type="dxa"/>
            <w:tcBorders>
              <w:top w:val="nil"/>
              <w:left w:val="single" w:sz="8" w:space="0" w:color="auto"/>
              <w:bottom w:val="single" w:sz="8" w:space="0" w:color="auto"/>
              <w:right w:val="double" w:sz="12" w:space="0" w:color="auto"/>
            </w:tcBorders>
            <w:shd w:val="clear" w:color="auto" w:fill="FFFFFF"/>
            <w:tcMar>
              <w:top w:w="0" w:type="dxa"/>
              <w:left w:w="108" w:type="dxa"/>
              <w:bottom w:w="0" w:type="dxa"/>
              <w:right w:w="108" w:type="dxa"/>
            </w:tcMar>
            <w:hideMark/>
          </w:tcPr>
          <w:p w14:paraId="72266F05" w14:textId="5A557FB3"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color w:val="000000"/>
                <w:sz w:val="23"/>
                <w:szCs w:val="23"/>
              </w:rPr>
              <w:t>1. File Draft Evaluation Plan via DR Service Lists</w:t>
            </w:r>
          </w:p>
        </w:tc>
        <w:tc>
          <w:tcPr>
            <w:tcW w:w="2098" w:type="dxa"/>
            <w:tcBorders>
              <w:top w:val="nil"/>
              <w:left w:val="nil"/>
              <w:bottom w:val="single" w:sz="8" w:space="0" w:color="auto"/>
              <w:right w:val="single" w:sz="8" w:space="0" w:color="auto"/>
            </w:tcBorders>
            <w:shd w:val="clear" w:color="auto" w:fill="FFFFFF"/>
            <w:hideMark/>
          </w:tcPr>
          <w:p w14:paraId="477E0CCD" w14:textId="77777777" w:rsidR="00C66B22" w:rsidRDefault="00C66B22" w:rsidP="004E1973">
            <w:pPr>
              <w:pStyle w:val="NormalWeb"/>
              <w:spacing w:before="0" w:beforeAutospacing="0" w:after="0" w:afterAutospacing="0"/>
              <w:ind w:right="90" w:firstLine="15"/>
              <w:jc w:val="center"/>
              <w:rPr>
                <w:rFonts w:ascii="Calibri" w:hAnsi="Calibri" w:cs="Calibri"/>
                <w:sz w:val="22"/>
                <w:szCs w:val="22"/>
              </w:rPr>
            </w:pPr>
            <w:r>
              <w:rPr>
                <w:rFonts w:ascii="Calibri" w:hAnsi="Calibri" w:cs="Calibri"/>
                <w:color w:val="000000"/>
                <w:sz w:val="23"/>
                <w:szCs w:val="23"/>
              </w:rPr>
              <w:t>October 4 – December 31, 2019</w:t>
            </w:r>
          </w:p>
        </w:tc>
        <w:tc>
          <w:tcPr>
            <w:tcW w:w="2008" w:type="dxa"/>
            <w:tcBorders>
              <w:top w:val="nil"/>
              <w:left w:val="nil"/>
              <w:bottom w:val="single" w:sz="8" w:space="0" w:color="auto"/>
              <w:right w:val="single" w:sz="8" w:space="0" w:color="auto"/>
            </w:tcBorders>
            <w:shd w:val="clear" w:color="auto" w:fill="FFFFFF"/>
            <w:hideMark/>
          </w:tcPr>
          <w:p w14:paraId="49BDE339" w14:textId="2BA9AACD" w:rsidR="00C66B22" w:rsidRDefault="00C66B22" w:rsidP="004E1973">
            <w:pPr>
              <w:pStyle w:val="NormalWeb"/>
              <w:spacing w:before="0" w:beforeAutospacing="0" w:after="0" w:afterAutospacing="0"/>
              <w:ind w:left="31" w:right="70" w:firstLine="3"/>
              <w:jc w:val="center"/>
              <w:rPr>
                <w:rFonts w:ascii="Calibri" w:hAnsi="Calibri" w:cs="Calibri"/>
                <w:sz w:val="22"/>
                <w:szCs w:val="22"/>
              </w:rPr>
            </w:pPr>
            <w:r>
              <w:rPr>
                <w:rFonts w:ascii="Calibri" w:hAnsi="Calibri" w:cs="Calibri"/>
                <w:color w:val="000000"/>
                <w:sz w:val="23"/>
                <w:szCs w:val="23"/>
              </w:rPr>
              <w:t>February 2</w:t>
            </w:r>
            <w:r w:rsidR="005117AE">
              <w:rPr>
                <w:rFonts w:ascii="Calibri" w:hAnsi="Calibri" w:cs="Calibri"/>
                <w:color w:val="000000"/>
                <w:sz w:val="23"/>
                <w:szCs w:val="23"/>
              </w:rPr>
              <w:t>8</w:t>
            </w:r>
            <w:r>
              <w:rPr>
                <w:rFonts w:ascii="Calibri" w:hAnsi="Calibri" w:cs="Calibri"/>
                <w:color w:val="000000"/>
                <w:sz w:val="23"/>
                <w:szCs w:val="23"/>
              </w:rPr>
              <w:t>, 2020</w:t>
            </w:r>
          </w:p>
        </w:tc>
      </w:tr>
      <w:tr w:rsidR="00C66B22" w14:paraId="0C75A6FE" w14:textId="77777777" w:rsidTr="00920680">
        <w:tc>
          <w:tcPr>
            <w:tcW w:w="6490" w:type="dxa"/>
            <w:tcBorders>
              <w:top w:val="nil"/>
              <w:left w:val="single" w:sz="8" w:space="0" w:color="auto"/>
              <w:bottom w:val="single" w:sz="8" w:space="0" w:color="auto"/>
              <w:right w:val="double" w:sz="12" w:space="0" w:color="auto"/>
            </w:tcBorders>
            <w:shd w:val="clear" w:color="auto" w:fill="FFFFFF"/>
            <w:tcMar>
              <w:top w:w="0" w:type="dxa"/>
              <w:left w:w="108" w:type="dxa"/>
              <w:bottom w:w="0" w:type="dxa"/>
              <w:right w:w="108" w:type="dxa"/>
            </w:tcMar>
            <w:hideMark/>
          </w:tcPr>
          <w:p w14:paraId="11E081DF" w14:textId="77777777" w:rsidR="00C66B22" w:rsidRDefault="00C66B22" w:rsidP="00C66B22">
            <w:pPr>
              <w:pStyle w:val="NormalWeb"/>
              <w:spacing w:before="0" w:beforeAutospacing="0" w:after="0" w:afterAutospacing="0"/>
              <w:ind w:left="450" w:right="75" w:hanging="270"/>
              <w:rPr>
                <w:rFonts w:ascii="Calibri" w:hAnsi="Calibri" w:cs="Calibri"/>
                <w:sz w:val="22"/>
                <w:szCs w:val="22"/>
              </w:rPr>
            </w:pPr>
            <w:r>
              <w:rPr>
                <w:rFonts w:ascii="Calibri" w:hAnsi="Calibri" w:cs="Calibri"/>
                <w:color w:val="000000"/>
                <w:sz w:val="23"/>
                <w:szCs w:val="23"/>
              </w:rPr>
              <w:t>a. Stakeholders and DRMEC Comment on Draft Evaluation Plan</w:t>
            </w:r>
          </w:p>
        </w:tc>
        <w:tc>
          <w:tcPr>
            <w:tcW w:w="2098" w:type="dxa"/>
            <w:tcBorders>
              <w:top w:val="nil"/>
              <w:left w:val="nil"/>
              <w:bottom w:val="single" w:sz="8" w:space="0" w:color="auto"/>
              <w:right w:val="single" w:sz="8" w:space="0" w:color="auto"/>
            </w:tcBorders>
            <w:shd w:val="clear" w:color="auto" w:fill="FFFFFF"/>
            <w:hideMark/>
          </w:tcPr>
          <w:p w14:paraId="6CE30527"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October 4 – December 31, 2019</w:t>
            </w:r>
          </w:p>
        </w:tc>
        <w:tc>
          <w:tcPr>
            <w:tcW w:w="2008" w:type="dxa"/>
            <w:tcBorders>
              <w:top w:val="nil"/>
              <w:left w:val="nil"/>
              <w:bottom w:val="single" w:sz="8" w:space="0" w:color="auto"/>
              <w:right w:val="single" w:sz="8" w:space="0" w:color="auto"/>
            </w:tcBorders>
            <w:shd w:val="clear" w:color="auto" w:fill="FFFFFF"/>
            <w:hideMark/>
          </w:tcPr>
          <w:p w14:paraId="5C498B66" w14:textId="75B6E005" w:rsidR="00C66B22" w:rsidRDefault="00C66B22" w:rsidP="004E1973">
            <w:pPr>
              <w:pStyle w:val="NormalWeb"/>
              <w:spacing w:before="0" w:beforeAutospacing="0" w:after="0" w:afterAutospacing="0"/>
              <w:ind w:left="31" w:right="70"/>
              <w:jc w:val="center"/>
              <w:rPr>
                <w:rFonts w:ascii="Calibri" w:hAnsi="Calibri" w:cs="Calibri"/>
                <w:sz w:val="22"/>
                <w:szCs w:val="22"/>
              </w:rPr>
            </w:pPr>
            <w:r>
              <w:rPr>
                <w:rFonts w:ascii="Calibri" w:hAnsi="Calibri" w:cs="Calibri"/>
                <w:color w:val="000000"/>
                <w:sz w:val="23"/>
                <w:szCs w:val="23"/>
              </w:rPr>
              <w:t xml:space="preserve">March </w:t>
            </w:r>
            <w:r w:rsidR="005117AE">
              <w:rPr>
                <w:rFonts w:ascii="Calibri" w:hAnsi="Calibri" w:cs="Calibri"/>
                <w:color w:val="000000"/>
                <w:sz w:val="23"/>
                <w:szCs w:val="23"/>
              </w:rPr>
              <w:t>20</w:t>
            </w:r>
            <w:r>
              <w:rPr>
                <w:rFonts w:ascii="Calibri" w:hAnsi="Calibri" w:cs="Calibri"/>
                <w:color w:val="000000"/>
                <w:sz w:val="23"/>
                <w:szCs w:val="23"/>
              </w:rPr>
              <w:t>, 2020</w:t>
            </w:r>
          </w:p>
        </w:tc>
      </w:tr>
      <w:tr w:rsidR="00C66B22" w14:paraId="0A59D2C0" w14:textId="77777777" w:rsidTr="00920680">
        <w:tc>
          <w:tcPr>
            <w:tcW w:w="6490" w:type="dxa"/>
            <w:tcBorders>
              <w:top w:val="nil"/>
              <w:left w:val="single" w:sz="8" w:space="0" w:color="auto"/>
              <w:bottom w:val="single" w:sz="8" w:space="0" w:color="auto"/>
              <w:right w:val="double" w:sz="12" w:space="0" w:color="auto"/>
            </w:tcBorders>
            <w:shd w:val="clear" w:color="auto" w:fill="FFFFFF"/>
            <w:tcMar>
              <w:top w:w="0" w:type="dxa"/>
              <w:left w:w="108" w:type="dxa"/>
              <w:bottom w:w="0" w:type="dxa"/>
              <w:right w:w="108" w:type="dxa"/>
            </w:tcMar>
            <w:hideMark/>
          </w:tcPr>
          <w:p w14:paraId="18941712" w14:textId="43053E50" w:rsidR="00C66B22" w:rsidRDefault="00C66B22" w:rsidP="00C66B22">
            <w:pPr>
              <w:pStyle w:val="NormalWeb"/>
              <w:spacing w:before="0" w:beforeAutospacing="0" w:after="0" w:afterAutospacing="0"/>
              <w:ind w:left="450" w:right="75" w:hanging="270"/>
              <w:rPr>
                <w:rFonts w:ascii="Calibri" w:hAnsi="Calibri" w:cs="Calibri"/>
                <w:sz w:val="22"/>
                <w:szCs w:val="22"/>
              </w:rPr>
            </w:pPr>
            <w:r>
              <w:rPr>
                <w:rFonts w:ascii="Calibri" w:hAnsi="Calibri" w:cs="Calibri"/>
                <w:color w:val="000000"/>
                <w:sz w:val="23"/>
                <w:szCs w:val="23"/>
              </w:rPr>
              <w:t>b. Filing Party publishes a summary of comments and how they are addressed.</w:t>
            </w:r>
            <w:r w:rsidR="004E1973">
              <w:rPr>
                <w:rStyle w:val="FootnoteReference"/>
                <w:rFonts w:ascii="Calibri" w:hAnsi="Calibri" w:cs="Calibri"/>
                <w:color w:val="000000"/>
                <w:sz w:val="23"/>
                <w:szCs w:val="23"/>
              </w:rPr>
              <w:footnoteReference w:id="2"/>
            </w:r>
            <w:r w:rsidR="004E1973">
              <w:rPr>
                <w:rFonts w:ascii="Calibri" w:hAnsi="Calibri" w:cs="Calibri"/>
                <w:sz w:val="22"/>
                <w:szCs w:val="22"/>
              </w:rPr>
              <w:t xml:space="preserve"> </w:t>
            </w:r>
          </w:p>
        </w:tc>
        <w:tc>
          <w:tcPr>
            <w:tcW w:w="2098" w:type="dxa"/>
            <w:tcBorders>
              <w:top w:val="nil"/>
              <w:left w:val="nil"/>
              <w:bottom w:val="single" w:sz="8" w:space="0" w:color="auto"/>
              <w:right w:val="single" w:sz="8" w:space="0" w:color="auto"/>
            </w:tcBorders>
            <w:shd w:val="clear" w:color="auto" w:fill="FFFFFF"/>
            <w:hideMark/>
          </w:tcPr>
          <w:p w14:paraId="0445DB3E" w14:textId="77777777" w:rsidR="00C66B22" w:rsidRDefault="00C66B22" w:rsidP="004E1973">
            <w:pPr>
              <w:pStyle w:val="NormalWeb"/>
              <w:spacing w:before="0" w:beforeAutospacing="0" w:after="0" w:afterAutospacing="0"/>
              <w:ind w:right="90" w:firstLine="2"/>
              <w:jc w:val="center"/>
              <w:rPr>
                <w:rFonts w:ascii="Calibri" w:hAnsi="Calibri" w:cs="Calibri"/>
                <w:sz w:val="22"/>
                <w:szCs w:val="22"/>
              </w:rPr>
            </w:pPr>
            <w:r>
              <w:rPr>
                <w:rFonts w:ascii="Calibri" w:hAnsi="Calibri" w:cs="Calibri"/>
                <w:color w:val="000000"/>
                <w:sz w:val="23"/>
                <w:szCs w:val="23"/>
              </w:rPr>
              <w:t>No date requirement.</w:t>
            </w:r>
          </w:p>
        </w:tc>
        <w:tc>
          <w:tcPr>
            <w:tcW w:w="2008" w:type="dxa"/>
            <w:tcBorders>
              <w:top w:val="nil"/>
              <w:left w:val="nil"/>
              <w:bottom w:val="single" w:sz="8" w:space="0" w:color="auto"/>
              <w:right w:val="single" w:sz="8" w:space="0" w:color="auto"/>
            </w:tcBorders>
            <w:shd w:val="clear" w:color="auto" w:fill="FFFFFF"/>
            <w:hideMark/>
          </w:tcPr>
          <w:p w14:paraId="06F89ADD" w14:textId="77777777" w:rsidR="00C66B22" w:rsidRDefault="00C66B22" w:rsidP="004E1973">
            <w:pPr>
              <w:pStyle w:val="NormalWeb"/>
              <w:spacing w:before="0" w:beforeAutospacing="0" w:after="0" w:afterAutospacing="0"/>
              <w:ind w:left="31" w:right="70" w:firstLine="2"/>
              <w:jc w:val="center"/>
              <w:rPr>
                <w:rFonts w:ascii="Calibri" w:hAnsi="Calibri" w:cs="Calibri"/>
                <w:sz w:val="22"/>
                <w:szCs w:val="22"/>
              </w:rPr>
            </w:pPr>
            <w:r>
              <w:rPr>
                <w:rFonts w:ascii="Calibri" w:hAnsi="Calibri" w:cs="Calibri"/>
                <w:color w:val="000000"/>
                <w:sz w:val="23"/>
                <w:szCs w:val="23"/>
              </w:rPr>
              <w:t>No date requirement.</w:t>
            </w:r>
          </w:p>
        </w:tc>
      </w:tr>
      <w:tr w:rsidR="00C66B22" w14:paraId="00E8D7B3" w14:textId="77777777" w:rsidTr="00920680">
        <w:tc>
          <w:tcPr>
            <w:tcW w:w="6490" w:type="dxa"/>
            <w:tcBorders>
              <w:top w:val="nil"/>
              <w:left w:val="single" w:sz="8" w:space="0" w:color="auto"/>
              <w:bottom w:val="single" w:sz="8" w:space="0" w:color="auto"/>
              <w:right w:val="double" w:sz="12" w:space="0" w:color="auto"/>
            </w:tcBorders>
            <w:shd w:val="clear" w:color="auto" w:fill="D9D9D9"/>
            <w:tcMar>
              <w:top w:w="0" w:type="dxa"/>
              <w:left w:w="108" w:type="dxa"/>
              <w:bottom w:w="0" w:type="dxa"/>
              <w:right w:w="108" w:type="dxa"/>
            </w:tcMar>
            <w:hideMark/>
          </w:tcPr>
          <w:p w14:paraId="32F6C7A6" w14:textId="0C400315" w:rsidR="00C66B22" w:rsidRDefault="00C66B22" w:rsidP="00C66B22">
            <w:pPr>
              <w:pStyle w:val="NormalWeb"/>
              <w:spacing w:before="0" w:beforeAutospacing="0" w:after="0" w:afterAutospacing="0"/>
              <w:ind w:left="270" w:right="75" w:hanging="270"/>
              <w:rPr>
                <w:rFonts w:ascii="Calibri" w:hAnsi="Calibri" w:cs="Calibri"/>
                <w:sz w:val="22"/>
                <w:szCs w:val="22"/>
              </w:rPr>
            </w:pPr>
            <w:r>
              <w:rPr>
                <w:rFonts w:ascii="Calibri" w:hAnsi="Calibri" w:cs="Calibri"/>
                <w:color w:val="000000"/>
                <w:sz w:val="23"/>
                <w:szCs w:val="23"/>
              </w:rPr>
              <w:t xml:space="preserve">2. File Draft LIP Report </w:t>
            </w:r>
            <w:r w:rsidR="005117AE">
              <w:rPr>
                <w:rFonts w:ascii="Calibri" w:hAnsi="Calibri" w:cs="Calibri"/>
                <w:color w:val="000000"/>
                <w:sz w:val="23"/>
                <w:szCs w:val="23"/>
              </w:rPr>
              <w:t>to</w:t>
            </w:r>
            <w:r>
              <w:rPr>
                <w:rFonts w:ascii="Calibri" w:hAnsi="Calibri" w:cs="Calibri"/>
                <w:color w:val="000000"/>
                <w:sz w:val="23"/>
                <w:szCs w:val="23"/>
              </w:rPr>
              <w:t xml:space="preserve"> Service Lists </w:t>
            </w:r>
            <w:bookmarkStart w:id="1" w:name="_Hlk29569275"/>
            <w:r>
              <w:rPr>
                <w:rFonts w:ascii="Calibri" w:hAnsi="Calibri" w:cs="Calibri"/>
                <w:color w:val="000000"/>
                <w:sz w:val="23"/>
                <w:szCs w:val="23"/>
              </w:rPr>
              <w:t>(</w:t>
            </w:r>
            <w:hyperlink r:id="rId9" w:tgtFrame="_blank" w:history="1">
              <w:r>
                <w:rPr>
                  <w:rStyle w:val="Hyperlink"/>
                  <w:rFonts w:ascii="Calibri" w:hAnsi="Calibri" w:cs="Calibri"/>
                  <w:sz w:val="23"/>
                  <w:szCs w:val="23"/>
                </w:rPr>
                <w:t>R.</w:t>
              </w:r>
              <w:r w:rsidR="008F060E">
                <w:rPr>
                  <w:rStyle w:val="Hyperlink"/>
                  <w:rFonts w:ascii="Calibri" w:hAnsi="Calibri" w:cs="Calibri"/>
                  <w:sz w:val="23"/>
                  <w:szCs w:val="23"/>
                </w:rPr>
                <w:t xml:space="preserve"> </w:t>
              </w:r>
              <w:r>
                <w:rPr>
                  <w:rStyle w:val="Hyperlink"/>
                  <w:rFonts w:ascii="Calibri" w:hAnsi="Calibri" w:cs="Calibri"/>
                  <w:sz w:val="23"/>
                  <w:szCs w:val="23"/>
                </w:rPr>
                <w:t>13-09-011</w:t>
              </w:r>
            </w:hyperlink>
            <w:r w:rsidR="00362158">
              <w:rPr>
                <w:rStyle w:val="Hyperlink"/>
                <w:rFonts w:ascii="Calibri" w:hAnsi="Calibri" w:cs="Calibri"/>
                <w:sz w:val="23"/>
                <w:szCs w:val="23"/>
              </w:rPr>
              <w:t xml:space="preserve">, </w:t>
            </w:r>
            <w:r w:rsidR="009E5DCC" w:rsidRPr="009E5DCC">
              <w:rPr>
                <w:rStyle w:val="Hyperlink"/>
                <w:rFonts w:ascii="Calibri" w:hAnsi="Calibri" w:cs="Calibri"/>
                <w:sz w:val="23"/>
                <w:szCs w:val="23"/>
              </w:rPr>
              <w:t>A. 17-01-012</w:t>
            </w:r>
            <w:r w:rsidR="009E5DCC">
              <w:rPr>
                <w:rStyle w:val="Hyperlink"/>
                <w:rFonts w:ascii="Calibri" w:hAnsi="Calibri" w:cs="Calibri"/>
                <w:sz w:val="23"/>
                <w:szCs w:val="23"/>
              </w:rPr>
              <w:t>,</w:t>
            </w:r>
            <w:r w:rsidR="008F060E">
              <w:rPr>
                <w:rStyle w:val="Hyperlink"/>
                <w:rFonts w:ascii="Calibri" w:hAnsi="Calibri" w:cs="Calibri"/>
                <w:sz w:val="23"/>
                <w:szCs w:val="23"/>
              </w:rPr>
              <w:t xml:space="preserve"> and</w:t>
            </w:r>
            <w:r w:rsidR="009E5DCC">
              <w:rPr>
                <w:rStyle w:val="Hyperlink"/>
                <w:rFonts w:ascii="Calibri" w:hAnsi="Calibri" w:cs="Calibri"/>
                <w:sz w:val="23"/>
                <w:szCs w:val="23"/>
              </w:rPr>
              <w:t xml:space="preserve"> </w:t>
            </w:r>
            <w:r w:rsidR="00362158">
              <w:rPr>
                <w:rStyle w:val="Hyperlink"/>
                <w:rFonts w:ascii="Calibri" w:hAnsi="Calibri" w:cs="Calibri"/>
                <w:sz w:val="23"/>
                <w:szCs w:val="23"/>
              </w:rPr>
              <w:t>R. 19-11-009</w:t>
            </w:r>
            <w:r>
              <w:rPr>
                <w:rFonts w:ascii="Calibri" w:hAnsi="Calibri" w:cs="Calibri"/>
                <w:color w:val="000000"/>
                <w:sz w:val="23"/>
                <w:szCs w:val="23"/>
              </w:rPr>
              <w:t>)</w:t>
            </w:r>
            <w:bookmarkEnd w:id="1"/>
          </w:p>
        </w:tc>
        <w:tc>
          <w:tcPr>
            <w:tcW w:w="2098" w:type="dxa"/>
            <w:tcBorders>
              <w:top w:val="nil"/>
              <w:left w:val="nil"/>
              <w:bottom w:val="single" w:sz="8" w:space="0" w:color="auto"/>
              <w:right w:val="single" w:sz="8" w:space="0" w:color="auto"/>
            </w:tcBorders>
            <w:shd w:val="clear" w:color="auto" w:fill="FFFFFF"/>
            <w:hideMark/>
          </w:tcPr>
          <w:p w14:paraId="4055F21D"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March 18, 2020</w:t>
            </w:r>
          </w:p>
        </w:tc>
        <w:tc>
          <w:tcPr>
            <w:tcW w:w="2008" w:type="dxa"/>
            <w:tcBorders>
              <w:top w:val="nil"/>
              <w:left w:val="nil"/>
              <w:bottom w:val="single" w:sz="8" w:space="0" w:color="auto"/>
              <w:right w:val="single" w:sz="8" w:space="0" w:color="auto"/>
            </w:tcBorders>
            <w:shd w:val="clear" w:color="auto" w:fill="FFFFFF"/>
            <w:hideMark/>
          </w:tcPr>
          <w:p w14:paraId="3C360EF6"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April 10, 2020</w:t>
            </w:r>
          </w:p>
        </w:tc>
      </w:tr>
      <w:tr w:rsidR="00C66B22" w14:paraId="63C77D94" w14:textId="77777777" w:rsidTr="00920680">
        <w:tc>
          <w:tcPr>
            <w:tcW w:w="6490" w:type="dxa"/>
            <w:tcBorders>
              <w:top w:val="nil"/>
              <w:left w:val="single" w:sz="8" w:space="0" w:color="auto"/>
              <w:bottom w:val="single" w:sz="8" w:space="0" w:color="auto"/>
              <w:right w:val="double" w:sz="12" w:space="0" w:color="auto"/>
            </w:tcBorders>
            <w:shd w:val="clear" w:color="auto" w:fill="FFFFFF"/>
            <w:tcMar>
              <w:top w:w="0" w:type="dxa"/>
              <w:left w:w="108" w:type="dxa"/>
              <w:bottom w:w="0" w:type="dxa"/>
              <w:right w:w="108" w:type="dxa"/>
            </w:tcMar>
            <w:hideMark/>
          </w:tcPr>
          <w:p w14:paraId="7FA7A9D1" w14:textId="77777777" w:rsidR="00C66B22" w:rsidRDefault="00C66B22" w:rsidP="00C66B22">
            <w:pPr>
              <w:pStyle w:val="NormalWeb"/>
              <w:spacing w:before="0" w:beforeAutospacing="0" w:after="0" w:afterAutospacing="0"/>
              <w:ind w:left="450" w:right="75" w:hanging="310"/>
              <w:rPr>
                <w:rFonts w:ascii="Calibri" w:hAnsi="Calibri" w:cs="Calibri"/>
                <w:sz w:val="22"/>
                <w:szCs w:val="22"/>
              </w:rPr>
            </w:pPr>
            <w:r>
              <w:rPr>
                <w:rFonts w:ascii="Calibri" w:hAnsi="Calibri" w:cs="Calibri"/>
                <w:color w:val="000000"/>
                <w:sz w:val="23"/>
                <w:szCs w:val="23"/>
              </w:rPr>
              <w:t>a. Conduct Workshop on Draft LIP Report</w:t>
            </w:r>
          </w:p>
        </w:tc>
        <w:tc>
          <w:tcPr>
            <w:tcW w:w="2098" w:type="dxa"/>
            <w:tcBorders>
              <w:top w:val="nil"/>
              <w:left w:val="nil"/>
              <w:bottom w:val="single" w:sz="8" w:space="0" w:color="auto"/>
              <w:right w:val="single" w:sz="8" w:space="0" w:color="auto"/>
            </w:tcBorders>
            <w:shd w:val="clear" w:color="auto" w:fill="FFFFFF"/>
            <w:hideMark/>
          </w:tcPr>
          <w:p w14:paraId="5E2AB52E"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No requirement</w:t>
            </w:r>
          </w:p>
        </w:tc>
        <w:tc>
          <w:tcPr>
            <w:tcW w:w="2008" w:type="dxa"/>
            <w:tcBorders>
              <w:top w:val="nil"/>
              <w:left w:val="nil"/>
              <w:bottom w:val="single" w:sz="8" w:space="0" w:color="auto"/>
              <w:right w:val="single" w:sz="8" w:space="0" w:color="auto"/>
            </w:tcBorders>
            <w:shd w:val="clear" w:color="auto" w:fill="FFFFFF"/>
            <w:hideMark/>
          </w:tcPr>
          <w:p w14:paraId="27758DA3"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No requirement</w:t>
            </w:r>
          </w:p>
        </w:tc>
      </w:tr>
      <w:tr w:rsidR="00C66B22" w14:paraId="58BDB8F3" w14:textId="77777777" w:rsidTr="00920680">
        <w:tc>
          <w:tcPr>
            <w:tcW w:w="6490" w:type="dxa"/>
            <w:tcBorders>
              <w:top w:val="nil"/>
              <w:left w:val="single" w:sz="8" w:space="0" w:color="auto"/>
              <w:bottom w:val="single" w:sz="8" w:space="0" w:color="auto"/>
              <w:right w:val="double" w:sz="12" w:space="0" w:color="auto"/>
            </w:tcBorders>
            <w:shd w:val="clear" w:color="auto" w:fill="FFFFFF"/>
            <w:tcMar>
              <w:top w:w="0" w:type="dxa"/>
              <w:left w:w="108" w:type="dxa"/>
              <w:bottom w:w="0" w:type="dxa"/>
              <w:right w:w="108" w:type="dxa"/>
            </w:tcMar>
            <w:hideMark/>
          </w:tcPr>
          <w:p w14:paraId="77298F06" w14:textId="77777777" w:rsidR="00C66B22" w:rsidRDefault="00C66B22" w:rsidP="00C66B22">
            <w:pPr>
              <w:pStyle w:val="NormalWeb"/>
              <w:spacing w:before="0" w:beforeAutospacing="0" w:after="0" w:afterAutospacing="0"/>
              <w:ind w:left="450" w:right="75" w:hanging="310"/>
              <w:rPr>
                <w:rFonts w:ascii="Calibri" w:hAnsi="Calibri" w:cs="Calibri"/>
                <w:sz w:val="22"/>
                <w:szCs w:val="22"/>
              </w:rPr>
            </w:pPr>
            <w:r>
              <w:rPr>
                <w:rFonts w:ascii="Calibri" w:hAnsi="Calibri" w:cs="Calibri"/>
                <w:color w:val="000000"/>
                <w:sz w:val="23"/>
                <w:szCs w:val="23"/>
              </w:rPr>
              <w:t>b. Stakeholders and DRMEC Comment on Draft LIP Report</w:t>
            </w:r>
          </w:p>
        </w:tc>
        <w:tc>
          <w:tcPr>
            <w:tcW w:w="2098" w:type="dxa"/>
            <w:tcBorders>
              <w:top w:val="nil"/>
              <w:left w:val="nil"/>
              <w:bottom w:val="single" w:sz="8" w:space="0" w:color="auto"/>
              <w:right w:val="single" w:sz="8" w:space="0" w:color="auto"/>
            </w:tcBorders>
            <w:shd w:val="clear" w:color="auto" w:fill="FFFFFF"/>
            <w:hideMark/>
          </w:tcPr>
          <w:p w14:paraId="1060C77A"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March 25, 2020</w:t>
            </w:r>
          </w:p>
        </w:tc>
        <w:tc>
          <w:tcPr>
            <w:tcW w:w="2008" w:type="dxa"/>
            <w:tcBorders>
              <w:top w:val="nil"/>
              <w:left w:val="nil"/>
              <w:bottom w:val="single" w:sz="8" w:space="0" w:color="auto"/>
              <w:right w:val="single" w:sz="8" w:space="0" w:color="auto"/>
            </w:tcBorders>
            <w:shd w:val="clear" w:color="auto" w:fill="FFFFFF"/>
            <w:hideMark/>
          </w:tcPr>
          <w:p w14:paraId="6BD1552E"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April 24, 2020</w:t>
            </w:r>
          </w:p>
        </w:tc>
      </w:tr>
      <w:tr w:rsidR="00C66B22" w14:paraId="1C0B29C6" w14:textId="77777777" w:rsidTr="00920680">
        <w:tc>
          <w:tcPr>
            <w:tcW w:w="6490" w:type="dxa"/>
            <w:tcBorders>
              <w:top w:val="nil"/>
              <w:left w:val="single" w:sz="8" w:space="0" w:color="auto"/>
              <w:bottom w:val="single" w:sz="8" w:space="0" w:color="auto"/>
              <w:right w:val="double" w:sz="12" w:space="0" w:color="auto"/>
            </w:tcBorders>
            <w:shd w:val="clear" w:color="auto" w:fill="D9D9D9"/>
            <w:tcMar>
              <w:top w:w="0" w:type="dxa"/>
              <w:left w:w="108" w:type="dxa"/>
              <w:bottom w:w="0" w:type="dxa"/>
              <w:right w:w="108" w:type="dxa"/>
            </w:tcMar>
            <w:hideMark/>
          </w:tcPr>
          <w:p w14:paraId="016D2A35" w14:textId="1BEFE637"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color w:val="000000"/>
                <w:sz w:val="23"/>
                <w:szCs w:val="23"/>
              </w:rPr>
              <w:t xml:space="preserve">3. File Final LIP Report (including responses to comments) </w:t>
            </w:r>
            <w:r w:rsidR="005117AE">
              <w:rPr>
                <w:rFonts w:ascii="Calibri" w:hAnsi="Calibri" w:cs="Calibri"/>
                <w:color w:val="000000"/>
                <w:sz w:val="23"/>
                <w:szCs w:val="23"/>
              </w:rPr>
              <w:t>to</w:t>
            </w:r>
            <w:r>
              <w:rPr>
                <w:rFonts w:ascii="Calibri" w:hAnsi="Calibri" w:cs="Calibri"/>
                <w:color w:val="000000"/>
                <w:sz w:val="23"/>
                <w:szCs w:val="23"/>
              </w:rPr>
              <w:t xml:space="preserve"> Service Lists </w:t>
            </w:r>
            <w:r w:rsidR="009E5DCC">
              <w:rPr>
                <w:rFonts w:ascii="Calibri" w:hAnsi="Calibri" w:cs="Calibri"/>
                <w:color w:val="000000"/>
                <w:sz w:val="23"/>
                <w:szCs w:val="23"/>
              </w:rPr>
              <w:t>(</w:t>
            </w:r>
            <w:hyperlink r:id="rId10" w:tgtFrame="_blank" w:history="1">
              <w:r w:rsidR="009E5DCC">
                <w:rPr>
                  <w:rStyle w:val="Hyperlink"/>
                  <w:rFonts w:ascii="Calibri" w:hAnsi="Calibri" w:cs="Calibri"/>
                  <w:sz w:val="23"/>
                  <w:szCs w:val="23"/>
                </w:rPr>
                <w:t>R. 13-09-011</w:t>
              </w:r>
            </w:hyperlink>
            <w:r w:rsidR="009E5DCC">
              <w:rPr>
                <w:rStyle w:val="Hyperlink"/>
                <w:rFonts w:ascii="Calibri" w:hAnsi="Calibri" w:cs="Calibri"/>
                <w:sz w:val="23"/>
                <w:szCs w:val="23"/>
              </w:rPr>
              <w:t xml:space="preserve">, </w:t>
            </w:r>
            <w:r w:rsidR="009E5DCC" w:rsidRPr="009E5DCC">
              <w:rPr>
                <w:rStyle w:val="Hyperlink"/>
                <w:rFonts w:ascii="Calibri" w:hAnsi="Calibri" w:cs="Calibri"/>
                <w:sz w:val="23"/>
                <w:szCs w:val="23"/>
              </w:rPr>
              <w:t>A. 17-01-012</w:t>
            </w:r>
            <w:r w:rsidR="009E5DCC">
              <w:rPr>
                <w:rStyle w:val="Hyperlink"/>
                <w:rFonts w:ascii="Calibri" w:hAnsi="Calibri" w:cs="Calibri"/>
                <w:sz w:val="23"/>
                <w:szCs w:val="23"/>
              </w:rPr>
              <w:t>,</w:t>
            </w:r>
            <w:r w:rsidR="008F060E">
              <w:rPr>
                <w:rStyle w:val="Hyperlink"/>
                <w:rFonts w:ascii="Calibri" w:hAnsi="Calibri" w:cs="Calibri"/>
                <w:sz w:val="23"/>
                <w:szCs w:val="23"/>
              </w:rPr>
              <w:t xml:space="preserve"> and</w:t>
            </w:r>
            <w:r w:rsidR="009E5DCC">
              <w:rPr>
                <w:rStyle w:val="Hyperlink"/>
                <w:rFonts w:ascii="Calibri" w:hAnsi="Calibri" w:cs="Calibri"/>
                <w:sz w:val="23"/>
                <w:szCs w:val="23"/>
              </w:rPr>
              <w:t xml:space="preserve"> R. 19-11-009</w:t>
            </w:r>
            <w:r w:rsidR="009E5DCC">
              <w:rPr>
                <w:rFonts w:ascii="Calibri" w:hAnsi="Calibri" w:cs="Calibri"/>
                <w:color w:val="000000"/>
                <w:sz w:val="23"/>
                <w:szCs w:val="23"/>
              </w:rPr>
              <w:t>)</w:t>
            </w:r>
          </w:p>
        </w:tc>
        <w:tc>
          <w:tcPr>
            <w:tcW w:w="2098" w:type="dxa"/>
            <w:tcBorders>
              <w:top w:val="nil"/>
              <w:left w:val="nil"/>
              <w:bottom w:val="single" w:sz="8" w:space="0" w:color="auto"/>
              <w:right w:val="single" w:sz="8" w:space="0" w:color="auto"/>
            </w:tcBorders>
            <w:shd w:val="clear" w:color="auto" w:fill="FFFFFF"/>
            <w:hideMark/>
          </w:tcPr>
          <w:p w14:paraId="53F8E442"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April 1, 2020</w:t>
            </w:r>
          </w:p>
        </w:tc>
        <w:tc>
          <w:tcPr>
            <w:tcW w:w="2008" w:type="dxa"/>
            <w:tcBorders>
              <w:top w:val="nil"/>
              <w:left w:val="nil"/>
              <w:bottom w:val="single" w:sz="8" w:space="0" w:color="auto"/>
              <w:right w:val="single" w:sz="8" w:space="0" w:color="auto"/>
            </w:tcBorders>
            <w:shd w:val="clear" w:color="auto" w:fill="FFFFFF"/>
            <w:hideMark/>
          </w:tcPr>
          <w:p w14:paraId="0E5989E1"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May 15, 2020</w:t>
            </w:r>
          </w:p>
        </w:tc>
      </w:tr>
      <w:tr w:rsidR="00C66B22" w14:paraId="163752BD" w14:textId="77777777" w:rsidTr="00920680">
        <w:trPr>
          <w:trHeight w:val="106"/>
        </w:trPr>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734E4AC6" w14:textId="77777777" w:rsidR="00C66B22" w:rsidRDefault="00C66B22">
            <w:pPr>
              <w:pStyle w:val="NormalWeb"/>
              <w:spacing w:before="0" w:beforeAutospacing="0" w:after="0" w:afterAutospacing="0"/>
              <w:ind w:left="270" w:right="75" w:firstLine="15"/>
              <w:rPr>
                <w:rFonts w:ascii="Calibri" w:hAnsi="Calibri" w:cs="Calibri"/>
                <w:sz w:val="22"/>
                <w:szCs w:val="22"/>
              </w:rPr>
            </w:pPr>
            <w:r>
              <w:rPr>
                <w:rFonts w:ascii="Calibri" w:hAnsi="Calibri" w:cs="Calibri"/>
                <w:sz w:val="23"/>
                <w:szCs w:val="23"/>
              </w:rPr>
              <w:t xml:space="preserve">a. Conduct LIP </w:t>
            </w:r>
            <w:hyperlink r:id="rId11" w:tgtFrame="_blank" w:history="1">
              <w:r>
                <w:rPr>
                  <w:rStyle w:val="Hyperlink"/>
                  <w:rFonts w:ascii="Calibri" w:hAnsi="Calibri" w:cs="Calibri"/>
                  <w:sz w:val="23"/>
                  <w:szCs w:val="23"/>
                </w:rPr>
                <w:t>Workshop</w:t>
              </w:r>
            </w:hyperlink>
          </w:p>
        </w:tc>
        <w:tc>
          <w:tcPr>
            <w:tcW w:w="2098" w:type="dxa"/>
            <w:tcBorders>
              <w:top w:val="nil"/>
              <w:left w:val="nil"/>
              <w:bottom w:val="single" w:sz="8" w:space="0" w:color="auto"/>
              <w:right w:val="single" w:sz="8" w:space="0" w:color="auto"/>
            </w:tcBorders>
            <w:shd w:val="clear" w:color="auto" w:fill="FFFFFF"/>
            <w:hideMark/>
          </w:tcPr>
          <w:p w14:paraId="1D977076"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May 1, 2020</w:t>
            </w:r>
          </w:p>
        </w:tc>
        <w:tc>
          <w:tcPr>
            <w:tcW w:w="2008" w:type="dxa"/>
            <w:tcBorders>
              <w:top w:val="nil"/>
              <w:left w:val="nil"/>
              <w:bottom w:val="single" w:sz="8" w:space="0" w:color="auto"/>
              <w:right w:val="single" w:sz="8" w:space="0" w:color="auto"/>
            </w:tcBorders>
            <w:shd w:val="clear" w:color="auto" w:fill="FFFFFF"/>
            <w:hideMark/>
          </w:tcPr>
          <w:p w14:paraId="55C2334F"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May 29, 2020</w:t>
            </w:r>
          </w:p>
        </w:tc>
      </w:tr>
      <w:tr w:rsidR="00C66B22" w14:paraId="07128F50"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636DEBDC" w14:textId="77777777" w:rsidR="00C66B22" w:rsidRDefault="00C66B22" w:rsidP="00C66B22">
            <w:pPr>
              <w:pStyle w:val="NormalWeb"/>
              <w:spacing w:before="0" w:beforeAutospacing="0" w:after="0" w:afterAutospacing="0"/>
              <w:ind w:left="270" w:right="75" w:hanging="270"/>
              <w:rPr>
                <w:rFonts w:ascii="Calibri" w:hAnsi="Calibri" w:cs="Calibri"/>
                <w:sz w:val="22"/>
                <w:szCs w:val="22"/>
              </w:rPr>
            </w:pPr>
            <w:r>
              <w:rPr>
                <w:rFonts w:ascii="Calibri" w:hAnsi="Calibri" w:cs="Calibri"/>
                <w:color w:val="000000"/>
                <w:sz w:val="23"/>
                <w:szCs w:val="23"/>
              </w:rPr>
              <w:t>4. DR Section Submits Eligible DR Capacity to RA Section</w:t>
            </w:r>
          </w:p>
        </w:tc>
        <w:tc>
          <w:tcPr>
            <w:tcW w:w="2098" w:type="dxa"/>
            <w:tcBorders>
              <w:top w:val="nil"/>
              <w:left w:val="nil"/>
              <w:bottom w:val="single" w:sz="8" w:space="0" w:color="auto"/>
              <w:right w:val="single" w:sz="8" w:space="0" w:color="auto"/>
            </w:tcBorders>
            <w:shd w:val="clear" w:color="auto" w:fill="FFFFFF"/>
            <w:hideMark/>
          </w:tcPr>
          <w:p w14:paraId="0AFE308A" w14:textId="77777777" w:rsidR="00C66B22" w:rsidRDefault="00C66B22" w:rsidP="004E1973">
            <w:pPr>
              <w:pStyle w:val="NormalWeb"/>
              <w:spacing w:before="0" w:beforeAutospacing="0" w:after="0" w:afterAutospacing="0"/>
              <w:ind w:right="70" w:firstLine="90"/>
              <w:jc w:val="center"/>
              <w:rPr>
                <w:rFonts w:ascii="Calibri" w:hAnsi="Calibri" w:cs="Calibri"/>
                <w:sz w:val="22"/>
                <w:szCs w:val="22"/>
              </w:rPr>
            </w:pPr>
            <w:r>
              <w:rPr>
                <w:rFonts w:ascii="Calibri" w:hAnsi="Calibri" w:cs="Calibri"/>
                <w:color w:val="000000"/>
                <w:sz w:val="23"/>
                <w:szCs w:val="23"/>
              </w:rPr>
              <w:t>June 22, 2020</w:t>
            </w:r>
          </w:p>
        </w:tc>
        <w:tc>
          <w:tcPr>
            <w:tcW w:w="2008" w:type="dxa"/>
            <w:tcBorders>
              <w:top w:val="nil"/>
              <w:left w:val="nil"/>
              <w:bottom w:val="single" w:sz="8" w:space="0" w:color="auto"/>
              <w:right w:val="single" w:sz="8" w:space="0" w:color="auto"/>
            </w:tcBorders>
            <w:shd w:val="clear" w:color="auto" w:fill="FFFFFF"/>
            <w:hideMark/>
          </w:tcPr>
          <w:p w14:paraId="5498DAE6"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sidRPr="001A56B7">
              <w:rPr>
                <w:rFonts w:ascii="Calibri" w:hAnsi="Calibri" w:cs="Calibri"/>
                <w:sz w:val="23"/>
                <w:szCs w:val="23"/>
              </w:rPr>
              <w:t>Aug 17, 2020</w:t>
            </w:r>
          </w:p>
        </w:tc>
      </w:tr>
      <w:tr w:rsidR="00C66B22" w14:paraId="0E54FAD4"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6E1096CC" w14:textId="77777777" w:rsidR="00C66B22" w:rsidRDefault="00C66B22">
            <w:pPr>
              <w:pStyle w:val="NormalWeb"/>
              <w:keepNext/>
              <w:spacing w:before="0" w:beforeAutospacing="0" w:after="0" w:afterAutospacing="0"/>
              <w:ind w:left="270" w:right="75" w:hanging="270"/>
              <w:rPr>
                <w:rFonts w:ascii="Calibri" w:hAnsi="Calibri" w:cs="Calibri"/>
                <w:sz w:val="22"/>
                <w:szCs w:val="22"/>
              </w:rPr>
            </w:pPr>
            <w:r>
              <w:rPr>
                <w:rFonts w:ascii="Calibri" w:hAnsi="Calibri" w:cs="Calibri"/>
                <w:sz w:val="23"/>
                <w:szCs w:val="23"/>
              </w:rPr>
              <w:t>5. For IOUs Only: RA Section Posts Final QC values on RA Website</w:t>
            </w:r>
          </w:p>
        </w:tc>
        <w:tc>
          <w:tcPr>
            <w:tcW w:w="2098" w:type="dxa"/>
            <w:tcBorders>
              <w:top w:val="nil"/>
              <w:left w:val="nil"/>
              <w:bottom w:val="single" w:sz="8" w:space="0" w:color="auto"/>
              <w:right w:val="single" w:sz="8" w:space="0" w:color="auto"/>
            </w:tcBorders>
            <w:shd w:val="clear" w:color="auto" w:fill="FFFFFF"/>
            <w:hideMark/>
          </w:tcPr>
          <w:p w14:paraId="0D760CCB"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July 1, 2020</w:t>
            </w:r>
          </w:p>
        </w:tc>
        <w:tc>
          <w:tcPr>
            <w:tcW w:w="2008" w:type="dxa"/>
            <w:tcBorders>
              <w:top w:val="nil"/>
              <w:left w:val="nil"/>
              <w:bottom w:val="single" w:sz="8" w:space="0" w:color="auto"/>
              <w:right w:val="single" w:sz="8" w:space="0" w:color="auto"/>
            </w:tcBorders>
            <w:shd w:val="clear" w:color="auto" w:fill="D9D9D9"/>
            <w:hideMark/>
          </w:tcPr>
          <w:p w14:paraId="04D584D1"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sz w:val="23"/>
                <w:szCs w:val="23"/>
              </w:rPr>
              <w:t> </w:t>
            </w:r>
          </w:p>
        </w:tc>
      </w:tr>
      <w:tr w:rsidR="00C66B22" w14:paraId="0A5C58CD"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6D2753A1" w14:textId="77777777"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sz w:val="23"/>
                <w:szCs w:val="23"/>
              </w:rPr>
              <w:t>6. Initial RA Requirements assigned to LSEs</w:t>
            </w:r>
          </w:p>
        </w:tc>
        <w:tc>
          <w:tcPr>
            <w:tcW w:w="2098" w:type="dxa"/>
            <w:tcBorders>
              <w:top w:val="nil"/>
              <w:left w:val="nil"/>
              <w:bottom w:val="single" w:sz="8" w:space="0" w:color="auto"/>
              <w:right w:val="single" w:sz="8" w:space="0" w:color="auto"/>
            </w:tcBorders>
            <w:shd w:val="clear" w:color="auto" w:fill="FFFFFF"/>
            <w:hideMark/>
          </w:tcPr>
          <w:p w14:paraId="18C045AC"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July 2020</w:t>
            </w:r>
          </w:p>
        </w:tc>
        <w:tc>
          <w:tcPr>
            <w:tcW w:w="2008" w:type="dxa"/>
            <w:tcBorders>
              <w:top w:val="nil"/>
              <w:left w:val="nil"/>
              <w:bottom w:val="single" w:sz="8" w:space="0" w:color="auto"/>
              <w:right w:val="single" w:sz="8" w:space="0" w:color="auto"/>
            </w:tcBorders>
            <w:shd w:val="clear" w:color="auto" w:fill="FFFFFF"/>
            <w:hideMark/>
          </w:tcPr>
          <w:p w14:paraId="233D8677" w14:textId="77777777"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July 2020</w:t>
            </w:r>
          </w:p>
        </w:tc>
      </w:tr>
      <w:tr w:rsidR="00C66B22" w14:paraId="209E945D"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13C77496" w14:textId="44745843"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sz w:val="23"/>
                <w:szCs w:val="23"/>
              </w:rPr>
              <w:t xml:space="preserve">7. For DRPs Only: </w:t>
            </w:r>
            <w:r w:rsidR="005117AE" w:rsidRPr="005117AE">
              <w:rPr>
                <w:rFonts w:ascii="Calibri" w:hAnsi="Calibri" w:cs="Calibri"/>
                <w:sz w:val="23"/>
                <w:szCs w:val="23"/>
              </w:rPr>
              <w:t>RA Section finalizes QC values</w:t>
            </w:r>
          </w:p>
        </w:tc>
        <w:tc>
          <w:tcPr>
            <w:tcW w:w="2098" w:type="dxa"/>
            <w:tcBorders>
              <w:top w:val="nil"/>
              <w:left w:val="nil"/>
              <w:bottom w:val="single" w:sz="8" w:space="0" w:color="auto"/>
              <w:right w:val="single" w:sz="8" w:space="0" w:color="auto"/>
            </w:tcBorders>
            <w:shd w:val="clear" w:color="auto" w:fill="D9D9D9"/>
            <w:hideMark/>
          </w:tcPr>
          <w:p w14:paraId="65D0563D" w14:textId="77777777" w:rsidR="00C66B22" w:rsidRDefault="00C66B22" w:rsidP="004E1973">
            <w:pPr>
              <w:pStyle w:val="NormalWeb"/>
              <w:spacing w:before="0" w:beforeAutospacing="0" w:after="0" w:afterAutospacing="0"/>
              <w:ind w:right="90" w:firstLine="15"/>
              <w:jc w:val="center"/>
              <w:rPr>
                <w:rFonts w:ascii="Calibri" w:hAnsi="Calibri" w:cs="Calibri"/>
                <w:sz w:val="22"/>
                <w:szCs w:val="22"/>
              </w:rPr>
            </w:pPr>
            <w:r>
              <w:rPr>
                <w:rFonts w:ascii="Calibri" w:hAnsi="Calibri" w:cs="Calibri"/>
                <w:sz w:val="23"/>
                <w:szCs w:val="23"/>
              </w:rPr>
              <w:t> </w:t>
            </w:r>
          </w:p>
        </w:tc>
        <w:tc>
          <w:tcPr>
            <w:tcW w:w="2008" w:type="dxa"/>
            <w:tcBorders>
              <w:top w:val="nil"/>
              <w:left w:val="nil"/>
              <w:bottom w:val="single" w:sz="8" w:space="0" w:color="auto"/>
              <w:right w:val="single" w:sz="8" w:space="0" w:color="auto"/>
            </w:tcBorders>
            <w:shd w:val="clear" w:color="auto" w:fill="FFFFFF"/>
            <w:hideMark/>
          </w:tcPr>
          <w:p w14:paraId="04894166" w14:textId="77777777" w:rsidR="00C66B22" w:rsidRDefault="00C66B22" w:rsidP="004E1973">
            <w:pPr>
              <w:pStyle w:val="NormalWeb"/>
              <w:spacing w:before="0" w:beforeAutospacing="0" w:after="0" w:afterAutospacing="0"/>
              <w:ind w:left="31" w:right="70"/>
              <w:jc w:val="center"/>
              <w:rPr>
                <w:rFonts w:ascii="Calibri" w:hAnsi="Calibri" w:cs="Calibri"/>
                <w:sz w:val="22"/>
                <w:szCs w:val="22"/>
              </w:rPr>
            </w:pPr>
            <w:r>
              <w:rPr>
                <w:rFonts w:ascii="Calibri" w:hAnsi="Calibri" w:cs="Calibri"/>
                <w:color w:val="000000"/>
                <w:sz w:val="23"/>
                <w:szCs w:val="23"/>
              </w:rPr>
              <w:t>September 1, 2020</w:t>
            </w:r>
          </w:p>
        </w:tc>
      </w:tr>
      <w:tr w:rsidR="00C66B22" w14:paraId="7D3B5244"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7EAE7100" w14:textId="77777777"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sz w:val="23"/>
                <w:szCs w:val="23"/>
              </w:rPr>
              <w:t>8. Final RA Requirements assigned to LSEs</w:t>
            </w:r>
          </w:p>
        </w:tc>
        <w:tc>
          <w:tcPr>
            <w:tcW w:w="2098" w:type="dxa"/>
            <w:tcBorders>
              <w:top w:val="nil"/>
              <w:left w:val="nil"/>
              <w:bottom w:val="single" w:sz="8" w:space="0" w:color="auto"/>
              <w:right w:val="single" w:sz="8" w:space="0" w:color="auto"/>
            </w:tcBorders>
            <w:shd w:val="clear" w:color="auto" w:fill="FFFFFF"/>
            <w:hideMark/>
          </w:tcPr>
          <w:p w14:paraId="0531F634" w14:textId="77777777" w:rsidR="00C66B22" w:rsidRDefault="00C66B22" w:rsidP="004E1973">
            <w:pPr>
              <w:pStyle w:val="NormalWeb"/>
              <w:spacing w:before="0" w:beforeAutospacing="0" w:after="0" w:afterAutospacing="0"/>
              <w:ind w:right="90" w:firstLine="15"/>
              <w:jc w:val="center"/>
              <w:rPr>
                <w:rFonts w:ascii="Calibri" w:hAnsi="Calibri" w:cs="Calibri"/>
                <w:sz w:val="22"/>
                <w:szCs w:val="22"/>
              </w:rPr>
            </w:pPr>
            <w:r>
              <w:rPr>
                <w:rFonts w:ascii="Calibri" w:hAnsi="Calibri" w:cs="Calibri"/>
                <w:color w:val="000000"/>
                <w:sz w:val="23"/>
                <w:szCs w:val="23"/>
              </w:rPr>
              <w:t>September 2020</w:t>
            </w:r>
          </w:p>
        </w:tc>
        <w:tc>
          <w:tcPr>
            <w:tcW w:w="2008" w:type="dxa"/>
            <w:tcBorders>
              <w:top w:val="nil"/>
              <w:left w:val="nil"/>
              <w:bottom w:val="single" w:sz="8" w:space="0" w:color="auto"/>
              <w:right w:val="single" w:sz="8" w:space="0" w:color="auto"/>
            </w:tcBorders>
            <w:shd w:val="clear" w:color="auto" w:fill="FFFFFF"/>
            <w:hideMark/>
          </w:tcPr>
          <w:p w14:paraId="68BEDD43" w14:textId="77777777" w:rsidR="00C66B22" w:rsidRDefault="00C66B22" w:rsidP="004E1973">
            <w:pPr>
              <w:pStyle w:val="NormalWeb"/>
              <w:spacing w:before="0" w:beforeAutospacing="0" w:after="0" w:afterAutospacing="0"/>
              <w:ind w:left="31" w:right="70"/>
              <w:jc w:val="center"/>
              <w:rPr>
                <w:rFonts w:ascii="Calibri" w:hAnsi="Calibri" w:cs="Calibri"/>
                <w:sz w:val="22"/>
                <w:szCs w:val="22"/>
              </w:rPr>
            </w:pPr>
            <w:r>
              <w:rPr>
                <w:rFonts w:ascii="Calibri" w:hAnsi="Calibri" w:cs="Calibri"/>
                <w:color w:val="000000"/>
                <w:sz w:val="23"/>
                <w:szCs w:val="23"/>
              </w:rPr>
              <w:t>September 2020</w:t>
            </w:r>
          </w:p>
        </w:tc>
      </w:tr>
      <w:tr w:rsidR="00C66B22" w14:paraId="78D88CCB"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67CFEF5D" w14:textId="7FBA2510" w:rsidR="00C66B22" w:rsidRDefault="00C66B22">
            <w:pPr>
              <w:pStyle w:val="NormalWeb"/>
              <w:spacing w:before="0" w:beforeAutospacing="0" w:after="0" w:afterAutospacing="0"/>
              <w:ind w:left="270" w:right="75" w:hanging="270"/>
              <w:rPr>
                <w:rFonts w:ascii="Calibri" w:hAnsi="Calibri" w:cs="Calibri"/>
                <w:sz w:val="22"/>
                <w:szCs w:val="22"/>
              </w:rPr>
            </w:pPr>
            <w:r>
              <w:rPr>
                <w:rFonts w:ascii="Calibri" w:hAnsi="Calibri" w:cs="Calibri"/>
                <w:sz w:val="23"/>
                <w:szCs w:val="23"/>
              </w:rPr>
              <w:t xml:space="preserve">9. For DRPs Only: </w:t>
            </w:r>
            <w:r w:rsidR="005117AE">
              <w:rPr>
                <w:rFonts w:ascii="Calibri" w:hAnsi="Calibri" w:cs="Calibri"/>
                <w:sz w:val="23"/>
                <w:szCs w:val="23"/>
              </w:rPr>
              <w:t xml:space="preserve">DRPs </w:t>
            </w:r>
            <w:r>
              <w:rPr>
                <w:rFonts w:ascii="Calibri" w:hAnsi="Calibri" w:cs="Calibri"/>
                <w:sz w:val="23"/>
                <w:szCs w:val="23"/>
              </w:rPr>
              <w:t>Submit names of capacity buyers and associated MWs</w:t>
            </w:r>
          </w:p>
        </w:tc>
        <w:tc>
          <w:tcPr>
            <w:tcW w:w="2098" w:type="dxa"/>
            <w:tcBorders>
              <w:top w:val="nil"/>
              <w:left w:val="nil"/>
              <w:bottom w:val="single" w:sz="8" w:space="0" w:color="auto"/>
              <w:right w:val="single" w:sz="8" w:space="0" w:color="auto"/>
            </w:tcBorders>
            <w:shd w:val="clear" w:color="auto" w:fill="D9D9D9"/>
            <w:hideMark/>
          </w:tcPr>
          <w:p w14:paraId="2F1EBBF2"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sz w:val="23"/>
                <w:szCs w:val="23"/>
              </w:rPr>
              <w:t> </w:t>
            </w:r>
          </w:p>
        </w:tc>
        <w:tc>
          <w:tcPr>
            <w:tcW w:w="2008" w:type="dxa"/>
            <w:tcBorders>
              <w:top w:val="nil"/>
              <w:left w:val="nil"/>
              <w:bottom w:val="single" w:sz="8" w:space="0" w:color="auto"/>
              <w:right w:val="single" w:sz="8" w:space="0" w:color="auto"/>
            </w:tcBorders>
            <w:shd w:val="clear" w:color="auto" w:fill="FFFFFF"/>
            <w:hideMark/>
          </w:tcPr>
          <w:p w14:paraId="491D01BD" w14:textId="678011B0" w:rsidR="00C66B22" w:rsidRDefault="00C66B22" w:rsidP="004E1973">
            <w:pPr>
              <w:pStyle w:val="NormalWeb"/>
              <w:spacing w:before="0" w:beforeAutospacing="0" w:after="0" w:afterAutospacing="0"/>
              <w:ind w:left="31" w:right="70" w:firstLine="90"/>
              <w:jc w:val="center"/>
              <w:rPr>
                <w:rFonts w:ascii="Calibri" w:hAnsi="Calibri" w:cs="Calibri"/>
                <w:sz w:val="22"/>
                <w:szCs w:val="22"/>
              </w:rPr>
            </w:pPr>
            <w:r>
              <w:rPr>
                <w:rFonts w:ascii="Calibri" w:hAnsi="Calibri" w:cs="Calibri"/>
                <w:color w:val="000000"/>
                <w:sz w:val="23"/>
                <w:szCs w:val="23"/>
              </w:rPr>
              <w:t>October 1</w:t>
            </w:r>
            <w:r w:rsidR="00B13AB4">
              <w:rPr>
                <w:rFonts w:ascii="Calibri" w:hAnsi="Calibri" w:cs="Calibri"/>
                <w:color w:val="000000"/>
                <w:sz w:val="23"/>
                <w:szCs w:val="23"/>
              </w:rPr>
              <w:t>5</w:t>
            </w:r>
            <w:r>
              <w:rPr>
                <w:rFonts w:ascii="Calibri" w:hAnsi="Calibri" w:cs="Calibri"/>
                <w:color w:val="000000"/>
                <w:sz w:val="23"/>
                <w:szCs w:val="23"/>
              </w:rPr>
              <w:t>, 2020</w:t>
            </w:r>
          </w:p>
        </w:tc>
      </w:tr>
      <w:tr w:rsidR="00C66B22" w14:paraId="58A0E837" w14:textId="77777777" w:rsidTr="00920680">
        <w:tc>
          <w:tcPr>
            <w:tcW w:w="6490" w:type="dxa"/>
            <w:tcBorders>
              <w:top w:val="nil"/>
              <w:left w:val="single" w:sz="8" w:space="0" w:color="auto"/>
              <w:bottom w:val="single" w:sz="8" w:space="0" w:color="auto"/>
              <w:right w:val="double" w:sz="12" w:space="0" w:color="auto"/>
            </w:tcBorders>
            <w:tcMar>
              <w:top w:w="0" w:type="dxa"/>
              <w:left w:w="108" w:type="dxa"/>
              <w:bottom w:w="0" w:type="dxa"/>
              <w:right w:w="108" w:type="dxa"/>
            </w:tcMar>
            <w:hideMark/>
          </w:tcPr>
          <w:p w14:paraId="269E3F7C" w14:textId="77777777" w:rsidR="00C66B22" w:rsidRDefault="00C66B22" w:rsidP="001A56B7">
            <w:pPr>
              <w:pStyle w:val="NormalWeb"/>
              <w:spacing w:before="0" w:beforeAutospacing="0" w:after="0" w:afterAutospacing="0"/>
              <w:ind w:left="270" w:right="75" w:hanging="360"/>
              <w:rPr>
                <w:rFonts w:ascii="Calibri" w:hAnsi="Calibri" w:cs="Calibri"/>
                <w:sz w:val="22"/>
                <w:szCs w:val="22"/>
              </w:rPr>
            </w:pPr>
            <w:r>
              <w:rPr>
                <w:rFonts w:ascii="Calibri" w:hAnsi="Calibri" w:cs="Calibri"/>
                <w:sz w:val="23"/>
                <w:szCs w:val="23"/>
              </w:rPr>
              <w:t>10. LSEs Submit RA Year-Ahead Compliance Filing to Energy Division</w:t>
            </w:r>
          </w:p>
        </w:tc>
        <w:tc>
          <w:tcPr>
            <w:tcW w:w="2098" w:type="dxa"/>
            <w:tcBorders>
              <w:top w:val="nil"/>
              <w:left w:val="nil"/>
              <w:bottom w:val="single" w:sz="8" w:space="0" w:color="auto"/>
              <w:right w:val="single" w:sz="8" w:space="0" w:color="auto"/>
            </w:tcBorders>
            <w:shd w:val="clear" w:color="auto" w:fill="FFFFFF"/>
            <w:hideMark/>
          </w:tcPr>
          <w:p w14:paraId="1FF635B7" w14:textId="77777777" w:rsidR="00C66B22" w:rsidRDefault="00C66B22" w:rsidP="004E1973">
            <w:pPr>
              <w:pStyle w:val="NormalWeb"/>
              <w:spacing w:before="0" w:beforeAutospacing="0" w:after="0" w:afterAutospacing="0"/>
              <w:ind w:right="90" w:firstLine="91"/>
              <w:jc w:val="center"/>
              <w:rPr>
                <w:rFonts w:ascii="Calibri" w:hAnsi="Calibri" w:cs="Calibri"/>
                <w:sz w:val="22"/>
                <w:szCs w:val="22"/>
              </w:rPr>
            </w:pPr>
            <w:r>
              <w:rPr>
                <w:rFonts w:ascii="Calibri" w:hAnsi="Calibri" w:cs="Calibri"/>
                <w:color w:val="000000"/>
                <w:sz w:val="23"/>
                <w:szCs w:val="23"/>
              </w:rPr>
              <w:t>October 31, 2020</w:t>
            </w:r>
          </w:p>
        </w:tc>
        <w:tc>
          <w:tcPr>
            <w:tcW w:w="2008" w:type="dxa"/>
            <w:tcBorders>
              <w:top w:val="nil"/>
              <w:left w:val="nil"/>
              <w:bottom w:val="single" w:sz="8" w:space="0" w:color="auto"/>
              <w:right w:val="single" w:sz="8" w:space="0" w:color="auto"/>
            </w:tcBorders>
            <w:shd w:val="clear" w:color="auto" w:fill="FFFFFF"/>
            <w:hideMark/>
          </w:tcPr>
          <w:p w14:paraId="437773C3" w14:textId="77777777" w:rsidR="00C66B22" w:rsidRDefault="00C66B22" w:rsidP="004E1973">
            <w:pPr>
              <w:pStyle w:val="NormalWeb"/>
              <w:spacing w:before="0" w:beforeAutospacing="0" w:after="0" w:afterAutospacing="0"/>
              <w:ind w:left="31" w:right="166" w:firstLine="90"/>
              <w:jc w:val="center"/>
              <w:rPr>
                <w:rFonts w:ascii="Calibri" w:hAnsi="Calibri" w:cs="Calibri"/>
                <w:sz w:val="22"/>
                <w:szCs w:val="22"/>
              </w:rPr>
            </w:pPr>
            <w:r>
              <w:rPr>
                <w:rFonts w:ascii="Calibri" w:hAnsi="Calibri" w:cs="Calibri"/>
                <w:color w:val="000000"/>
                <w:sz w:val="23"/>
                <w:szCs w:val="23"/>
              </w:rPr>
              <w:t>October 31, 2020</w:t>
            </w:r>
          </w:p>
        </w:tc>
      </w:tr>
    </w:tbl>
    <w:p w14:paraId="698FA534" w14:textId="77777777" w:rsidR="00C66B22" w:rsidRPr="00F720BD" w:rsidRDefault="00C66B22" w:rsidP="00874FCB">
      <w:pPr>
        <w:overflowPunct/>
        <w:autoSpaceDE/>
        <w:autoSpaceDN/>
        <w:adjustRightInd/>
        <w:ind w:left="180"/>
        <w:textAlignment w:val="auto"/>
        <w:rPr>
          <w:rFonts w:asciiTheme="minorHAnsi" w:hAnsiTheme="minorHAnsi" w:cstheme="minorHAnsi"/>
          <w:szCs w:val="24"/>
          <w:shd w:val="clear" w:color="auto" w:fill="FAF9F8"/>
        </w:rPr>
      </w:pPr>
    </w:p>
    <w:p w14:paraId="6F3FF1D8" w14:textId="032DD3A0" w:rsidR="00DA7990" w:rsidRPr="00F720BD" w:rsidRDefault="00DA7990" w:rsidP="00874FCB">
      <w:pPr>
        <w:overflowPunct/>
        <w:autoSpaceDE/>
        <w:autoSpaceDN/>
        <w:adjustRightInd/>
        <w:ind w:left="180"/>
        <w:textAlignment w:val="auto"/>
        <w:rPr>
          <w:rFonts w:asciiTheme="minorHAnsi" w:hAnsiTheme="minorHAnsi" w:cstheme="minorHAnsi"/>
          <w:szCs w:val="24"/>
          <w:shd w:val="clear" w:color="auto" w:fill="FAF9F8"/>
        </w:rPr>
      </w:pPr>
    </w:p>
    <w:p w14:paraId="101C40D3" w14:textId="77777777" w:rsidR="00DA7990" w:rsidRPr="00A00FEC" w:rsidRDefault="00DA7990" w:rsidP="00874FCB">
      <w:pPr>
        <w:overflowPunct/>
        <w:autoSpaceDE/>
        <w:autoSpaceDN/>
        <w:adjustRightInd/>
        <w:ind w:left="180"/>
        <w:textAlignment w:val="auto"/>
        <w:rPr>
          <w:rFonts w:asciiTheme="minorHAnsi" w:hAnsiTheme="minorHAnsi" w:cstheme="minorHAnsi"/>
          <w:color w:val="201F1E"/>
          <w:szCs w:val="24"/>
        </w:rPr>
      </w:pPr>
    </w:p>
    <w:p w14:paraId="678732D2" w14:textId="77777777" w:rsidR="00874FCB" w:rsidRPr="00874FCB" w:rsidRDefault="00874FCB" w:rsidP="00874FCB">
      <w:pPr>
        <w:overflowPunct/>
        <w:autoSpaceDE/>
        <w:autoSpaceDN/>
        <w:adjustRightInd/>
        <w:ind w:left="270"/>
        <w:textAlignment w:val="auto"/>
        <w:rPr>
          <w:rFonts w:ascii="&amp;quot" w:hAnsi="&amp;quot"/>
          <w:color w:val="201F1E"/>
          <w:sz w:val="22"/>
          <w:szCs w:val="22"/>
        </w:rPr>
      </w:pPr>
      <w:r w:rsidRPr="00874FCB">
        <w:rPr>
          <w:rFonts w:ascii="inherit" w:hAnsi="inherit"/>
          <w:color w:val="201F1E"/>
          <w:sz w:val="23"/>
          <w:szCs w:val="23"/>
          <w:bdr w:val="none" w:sz="0" w:space="0" w:color="auto" w:frame="1"/>
        </w:rPr>
        <w:t> </w:t>
      </w:r>
    </w:p>
    <w:p w14:paraId="7CFFF00C" w14:textId="6623242D" w:rsidR="00874FCB" w:rsidRDefault="00874FCB" w:rsidP="00F821F1">
      <w:pPr>
        <w:rPr>
          <w:rFonts w:asciiTheme="minorHAnsi" w:hAnsiTheme="minorHAnsi"/>
        </w:rPr>
      </w:pPr>
      <w:bookmarkStart w:id="2" w:name="x__Hlk27557636"/>
      <w:bookmarkStart w:id="3" w:name="x__Hlk28945926"/>
      <w:bookmarkEnd w:id="2"/>
      <w:bookmarkEnd w:id="3"/>
    </w:p>
    <w:p w14:paraId="6D2FB819" w14:textId="5AB68A8C" w:rsidR="005117AE" w:rsidRDefault="005117AE" w:rsidP="00F821F1">
      <w:pPr>
        <w:rPr>
          <w:rFonts w:asciiTheme="minorHAnsi" w:hAnsiTheme="minorHAnsi"/>
        </w:rPr>
      </w:pPr>
    </w:p>
    <w:p w14:paraId="27EDF341" w14:textId="6E99C8A5" w:rsidR="005117AE" w:rsidRDefault="005117AE" w:rsidP="00F821F1">
      <w:pPr>
        <w:rPr>
          <w:rFonts w:asciiTheme="minorHAnsi" w:hAnsiTheme="minorHAnsi"/>
        </w:rPr>
      </w:pPr>
    </w:p>
    <w:p w14:paraId="1CB35F73" w14:textId="28617BD8" w:rsidR="005117AE" w:rsidRDefault="005117AE" w:rsidP="00F821F1">
      <w:pPr>
        <w:rPr>
          <w:rFonts w:asciiTheme="minorHAnsi" w:hAnsiTheme="minorHAnsi"/>
        </w:rPr>
      </w:pPr>
    </w:p>
    <w:p w14:paraId="3ED8E8BB" w14:textId="226530EA" w:rsidR="005117AE" w:rsidRDefault="005117AE" w:rsidP="00F821F1">
      <w:pPr>
        <w:rPr>
          <w:rFonts w:asciiTheme="minorHAnsi" w:hAnsiTheme="minorHAnsi"/>
        </w:rPr>
      </w:pPr>
    </w:p>
    <w:p w14:paraId="1F1258D3" w14:textId="1DE66C00" w:rsidR="005117AE" w:rsidRDefault="005117AE" w:rsidP="00F821F1">
      <w:pPr>
        <w:rPr>
          <w:rFonts w:asciiTheme="minorHAnsi" w:hAnsiTheme="minorHAnsi"/>
        </w:rPr>
      </w:pPr>
    </w:p>
    <w:p w14:paraId="2BC9EB35" w14:textId="7C51145C" w:rsidR="005117AE" w:rsidRDefault="005117AE" w:rsidP="00F821F1">
      <w:pPr>
        <w:rPr>
          <w:rFonts w:asciiTheme="minorHAnsi" w:hAnsiTheme="minorHAnsi"/>
        </w:rPr>
      </w:pPr>
    </w:p>
    <w:p w14:paraId="4D8711E5" w14:textId="51C65D6D" w:rsidR="005117AE" w:rsidRDefault="005117AE" w:rsidP="00F821F1">
      <w:pPr>
        <w:rPr>
          <w:rFonts w:asciiTheme="minorHAnsi" w:hAnsiTheme="minorHAnsi"/>
        </w:rPr>
      </w:pPr>
    </w:p>
    <w:p w14:paraId="41FAF344" w14:textId="75BDBBB5" w:rsidR="005117AE" w:rsidRPr="005117AE" w:rsidRDefault="005117AE" w:rsidP="005117AE">
      <w:pPr>
        <w:jc w:val="center"/>
        <w:rPr>
          <w:rFonts w:asciiTheme="minorHAnsi" w:hAnsiTheme="minorHAnsi"/>
          <w:b/>
          <w:bCs/>
          <w:sz w:val="28"/>
          <w:szCs w:val="28"/>
        </w:rPr>
      </w:pPr>
      <w:r w:rsidRPr="005117AE">
        <w:rPr>
          <w:rFonts w:asciiTheme="minorHAnsi" w:hAnsiTheme="minorHAnsi"/>
          <w:b/>
          <w:bCs/>
          <w:sz w:val="28"/>
          <w:szCs w:val="28"/>
        </w:rPr>
        <w:lastRenderedPageBreak/>
        <w:t>Attachment 1</w:t>
      </w:r>
    </w:p>
    <w:p w14:paraId="0AD6FEA0" w14:textId="74F2FAF1" w:rsidR="005117AE" w:rsidRDefault="005117AE" w:rsidP="005117AE">
      <w:pPr>
        <w:jc w:val="center"/>
        <w:rPr>
          <w:rFonts w:asciiTheme="minorHAnsi" w:hAnsiTheme="minorHAnsi"/>
        </w:rPr>
      </w:pPr>
    </w:p>
    <w:p w14:paraId="2891DFF2" w14:textId="3BE78F4E" w:rsidR="005117AE" w:rsidRDefault="005117AE" w:rsidP="005117AE">
      <w:pPr>
        <w:jc w:val="center"/>
        <w:rPr>
          <w:sz w:val="23"/>
          <w:szCs w:val="23"/>
        </w:rPr>
      </w:pPr>
      <w:r>
        <w:t xml:space="preserve"> </w:t>
      </w:r>
      <w:r>
        <w:rPr>
          <w:sz w:val="23"/>
          <w:szCs w:val="23"/>
        </w:rPr>
        <w:t>Updated Demand Response Load Impact Protocols 2020 Filing Requirements</w:t>
      </w:r>
    </w:p>
    <w:p w14:paraId="3D717EAD" w14:textId="4615766F" w:rsidR="00CF64DD" w:rsidRDefault="00CF64DD" w:rsidP="005117AE">
      <w:pPr>
        <w:jc w:val="center"/>
        <w:rPr>
          <w:sz w:val="23"/>
          <w:szCs w:val="23"/>
        </w:rPr>
      </w:pPr>
    </w:p>
    <w:p w14:paraId="3D3D1989" w14:textId="77777777" w:rsidR="00CF64DD" w:rsidRPr="00B9150E" w:rsidRDefault="00CF64DD" w:rsidP="00CF64DD">
      <w:pPr>
        <w:rPr>
          <w:b/>
          <w:bCs/>
          <w:color w:val="000000"/>
          <w:shd w:val="clear" w:color="auto" w:fill="FFFFFF"/>
        </w:rPr>
      </w:pPr>
      <w:r w:rsidRPr="00B9150E">
        <w:rPr>
          <w:b/>
          <w:bCs/>
          <w:color w:val="000000"/>
          <w:shd w:val="clear" w:color="auto" w:fill="FFFFFF"/>
        </w:rPr>
        <w:t>Background</w:t>
      </w:r>
    </w:p>
    <w:p w14:paraId="6C096ED0" w14:textId="77777777" w:rsidR="00CF64DD" w:rsidRPr="00B9150E" w:rsidRDefault="00CF64DD" w:rsidP="00CF64DD">
      <w:pPr>
        <w:rPr>
          <w:b/>
          <w:bCs/>
          <w:color w:val="000000"/>
          <w:sz w:val="12"/>
          <w:szCs w:val="12"/>
          <w:shd w:val="clear" w:color="auto" w:fill="FFFFFF"/>
        </w:rPr>
      </w:pPr>
    </w:p>
    <w:p w14:paraId="40ED1DCB" w14:textId="77777777" w:rsidR="00CF64DD" w:rsidRPr="00B9150E" w:rsidRDefault="00CF64DD" w:rsidP="00CF64DD">
      <w:pPr>
        <w:rPr>
          <w:rFonts w:eastAsiaTheme="minorHAnsi"/>
        </w:rPr>
      </w:pPr>
      <w:r w:rsidRPr="00B9150E">
        <w:rPr>
          <w:rFonts w:eastAsiaTheme="minorHAnsi"/>
        </w:rPr>
        <w:t xml:space="preserve">In accordance with </w:t>
      </w:r>
      <w:hyperlink r:id="rId12" w:history="1">
        <w:r w:rsidRPr="007C26F6">
          <w:rPr>
            <w:rStyle w:val="Hyperlink"/>
            <w:rFonts w:eastAsiaTheme="minorHAnsi"/>
          </w:rPr>
          <w:t>D. 19-06-026</w:t>
        </w:r>
      </w:hyperlink>
      <w:r w:rsidRPr="00B9150E">
        <w:rPr>
          <w:rFonts w:eastAsiaTheme="minorHAnsi"/>
        </w:rPr>
        <w:t xml:space="preserve"> in </w:t>
      </w:r>
      <w:hyperlink r:id="rId13" w:history="1">
        <w:r w:rsidRPr="007C26F6">
          <w:rPr>
            <w:rStyle w:val="Hyperlink"/>
            <w:rFonts w:eastAsiaTheme="minorHAnsi"/>
          </w:rPr>
          <w:t>R. 17-09-020</w:t>
        </w:r>
      </w:hyperlink>
      <w:r w:rsidRPr="00B9150E">
        <w:rPr>
          <w:rFonts w:eastAsiaTheme="minorHAnsi"/>
        </w:rPr>
        <w:t>, on December 3, 2019 the Energy Division (ED) initiated a LIP schedule and process for third-party Demand Response Provider (DRPs) and non-Utility Load Serving Entities (LSEs) to obtain Qualifying Capacity (QC) for DR resources through LIP filings in 2020.</w:t>
      </w:r>
      <w:r w:rsidRPr="00B9150E">
        <w:rPr>
          <w:rFonts w:eastAsiaTheme="minorHAnsi"/>
          <w:vertAlign w:val="superscript"/>
        </w:rPr>
        <w:footnoteReference w:id="3"/>
      </w:r>
      <w:r w:rsidRPr="00B9150E">
        <w:rPr>
          <w:rFonts w:eastAsiaTheme="minorHAnsi"/>
        </w:rPr>
        <w:t xml:space="preserve"> Parties submitted comments on December 27, 2019 and ED released an updated schedule on January 3, 2020. </w:t>
      </w:r>
    </w:p>
    <w:p w14:paraId="639CD4E1" w14:textId="77777777" w:rsidR="00CF64DD" w:rsidRPr="00B9150E" w:rsidRDefault="00CF64DD" w:rsidP="00CF64DD">
      <w:pPr>
        <w:rPr>
          <w:color w:val="000000"/>
          <w:sz w:val="12"/>
          <w:szCs w:val="12"/>
          <w:shd w:val="clear" w:color="auto" w:fill="FFFFFF"/>
        </w:rPr>
      </w:pPr>
    </w:p>
    <w:p w14:paraId="129F974E" w14:textId="77777777" w:rsidR="00CF64DD" w:rsidRPr="00B9150E" w:rsidRDefault="00CF64DD" w:rsidP="00CF64DD">
      <w:pPr>
        <w:rPr>
          <w:color w:val="000000"/>
          <w:bdr w:val="none" w:sz="0" w:space="0" w:color="auto" w:frame="1"/>
        </w:rPr>
      </w:pPr>
      <w:r w:rsidRPr="00B9150E">
        <w:t>ED Staff also invited parties to submit informal written comments on what changes to the LIPs or filing process should be considered when assessing third-party resources. Energy Division stated that, t</w:t>
      </w:r>
      <w:r w:rsidRPr="00B9150E">
        <w:rPr>
          <w:color w:val="201F1E"/>
        </w:rPr>
        <w:t xml:space="preserve">o </w:t>
      </w:r>
      <w:r w:rsidRPr="00B9150E">
        <w:rPr>
          <w:color w:val="000000"/>
          <w:bdr w:val="none" w:sz="0" w:space="0" w:color="auto" w:frame="1"/>
        </w:rPr>
        <w:t>the extent some of the desired changes fell within Staff discretion and could be feasibly accomplished within the schedule, it would publish the updated requirements and process details in time for the 2020 LIP filing deadlines.</w:t>
      </w:r>
    </w:p>
    <w:p w14:paraId="0F7C3D77" w14:textId="77777777" w:rsidR="00CF64DD" w:rsidRPr="00B9150E" w:rsidRDefault="00CF64DD" w:rsidP="00CF64DD">
      <w:pPr>
        <w:rPr>
          <w:color w:val="000000"/>
          <w:sz w:val="12"/>
          <w:szCs w:val="12"/>
          <w:bdr w:val="none" w:sz="0" w:space="0" w:color="auto" w:frame="1"/>
        </w:rPr>
      </w:pPr>
    </w:p>
    <w:p w14:paraId="2C4EC590" w14:textId="77777777" w:rsidR="00CF64DD" w:rsidRPr="00B9150E" w:rsidRDefault="00CF64DD" w:rsidP="00CF64DD">
      <w:r w:rsidRPr="00B9150E">
        <w:t xml:space="preserve">On January 24, 2020 three parties submitted comments: the California Energy and Demand Management Council (CEDMC), representing itself, CPower, Enel X North America, Inc., Leapfrog Power, Inc., and </w:t>
      </w:r>
      <w:proofErr w:type="spellStart"/>
      <w:r w:rsidRPr="00B9150E">
        <w:t>OhmConnect</w:t>
      </w:r>
      <w:proofErr w:type="spellEnd"/>
      <w:r w:rsidRPr="00B9150E">
        <w:t xml:space="preserve">, Inc.; Pacific Gas and Electric Company (PG&amp;E); and Tesla. </w:t>
      </w:r>
      <w:r>
        <w:t>ED</w:t>
      </w:r>
      <w:r w:rsidRPr="00B9150E">
        <w:t xml:space="preserve"> provides its responses below to parties’ proposed changes.</w:t>
      </w:r>
    </w:p>
    <w:p w14:paraId="64FDFC27" w14:textId="77777777" w:rsidR="00CF64DD" w:rsidRPr="00B9150E" w:rsidRDefault="00CF64DD" w:rsidP="00CF64DD">
      <w:pPr>
        <w:rPr>
          <w:sz w:val="22"/>
          <w:szCs w:val="22"/>
        </w:rPr>
      </w:pPr>
    </w:p>
    <w:p w14:paraId="7EBF5202" w14:textId="77777777" w:rsidR="00CF64DD" w:rsidRPr="00B9150E" w:rsidRDefault="00CF64DD" w:rsidP="00CF64DD">
      <w:pPr>
        <w:rPr>
          <w:b/>
          <w:bCs/>
        </w:rPr>
      </w:pPr>
      <w:r w:rsidRPr="00B9150E">
        <w:rPr>
          <w:b/>
          <w:bCs/>
        </w:rPr>
        <w:t>A. Confidential Information</w:t>
      </w:r>
    </w:p>
    <w:p w14:paraId="0CBA21DF" w14:textId="77777777" w:rsidR="00CF64DD" w:rsidRPr="00B9150E" w:rsidRDefault="00CF64DD" w:rsidP="00CF64DD">
      <w:pPr>
        <w:rPr>
          <w:sz w:val="12"/>
          <w:szCs w:val="12"/>
        </w:rPr>
      </w:pPr>
    </w:p>
    <w:p w14:paraId="5BB22753" w14:textId="77777777" w:rsidR="00CF64DD" w:rsidRPr="00B9150E" w:rsidRDefault="00CF64DD" w:rsidP="00CF64DD">
      <w:bookmarkStart w:id="4" w:name="_Hlk31368341"/>
      <w:r w:rsidRPr="00B9150E">
        <w:t>The CEDMC stated that, because most of the information to be provided by DRPs in LIP reports is market-sensitive, it should be protected from public disclosure. In support of this, the CEDMC recommended that:</w:t>
      </w:r>
    </w:p>
    <w:p w14:paraId="5C9B87A6" w14:textId="77777777" w:rsidR="00CF64DD" w:rsidRPr="00B9150E" w:rsidRDefault="00CF64DD" w:rsidP="00CF64DD">
      <w:pPr>
        <w:rPr>
          <w:sz w:val="12"/>
          <w:szCs w:val="12"/>
        </w:rPr>
      </w:pPr>
    </w:p>
    <w:bookmarkEnd w:id="4"/>
    <w:p w14:paraId="55AFC5BE" w14:textId="77777777" w:rsidR="00CF64DD" w:rsidRPr="00B9150E" w:rsidRDefault="00CF64DD" w:rsidP="00CF64DD">
      <w:pPr>
        <w:numPr>
          <w:ilvl w:val="0"/>
          <w:numId w:val="4"/>
        </w:numPr>
        <w:overflowPunct/>
        <w:autoSpaceDE/>
        <w:autoSpaceDN/>
        <w:adjustRightInd/>
        <w:ind w:left="540" w:hanging="270"/>
        <w:textAlignment w:val="auto"/>
      </w:pPr>
      <w:r w:rsidRPr="00B9150E">
        <w:t>Utility DR program staff be excluded from having access to confidential, third-party LIP reports.</w:t>
      </w:r>
    </w:p>
    <w:p w14:paraId="5341ED14" w14:textId="77777777" w:rsidR="00CF64DD" w:rsidRPr="00B9150E" w:rsidRDefault="00CF64DD" w:rsidP="00CF64DD">
      <w:pPr>
        <w:numPr>
          <w:ilvl w:val="0"/>
          <w:numId w:val="4"/>
        </w:numPr>
        <w:overflowPunct/>
        <w:autoSpaceDE/>
        <w:autoSpaceDN/>
        <w:adjustRightInd/>
        <w:ind w:left="540" w:hanging="270"/>
        <w:textAlignment w:val="auto"/>
      </w:pPr>
      <w:r w:rsidRPr="00B9150E">
        <w:t>All third-party LIP-related reports be filed only to the DRMEC and ED, instead of the applicable service lists.</w:t>
      </w:r>
    </w:p>
    <w:p w14:paraId="2330F70D" w14:textId="77777777" w:rsidR="00CF64DD" w:rsidRPr="00B9150E" w:rsidRDefault="00CF64DD" w:rsidP="00CF64DD">
      <w:pPr>
        <w:numPr>
          <w:ilvl w:val="0"/>
          <w:numId w:val="4"/>
        </w:numPr>
        <w:overflowPunct/>
        <w:autoSpaceDE/>
        <w:autoSpaceDN/>
        <w:adjustRightInd/>
        <w:ind w:left="540" w:hanging="270"/>
        <w:textAlignment w:val="auto"/>
      </w:pPr>
      <w:r w:rsidRPr="00B9150E">
        <w:t>DRMEC and ED provide feedback on third-party filings only to the specific party submitting the filing, and not to the service list.</w:t>
      </w:r>
    </w:p>
    <w:p w14:paraId="28827EF2" w14:textId="77777777" w:rsidR="00CF64DD" w:rsidRPr="00B9150E" w:rsidRDefault="00CF64DD" w:rsidP="00CF64DD">
      <w:pPr>
        <w:numPr>
          <w:ilvl w:val="0"/>
          <w:numId w:val="4"/>
        </w:numPr>
        <w:overflowPunct/>
        <w:autoSpaceDE/>
        <w:autoSpaceDN/>
        <w:adjustRightInd/>
        <w:ind w:left="540" w:hanging="270"/>
        <w:textAlignment w:val="auto"/>
      </w:pPr>
      <w:r w:rsidRPr="00B9150E">
        <w:t>ED forego public posting of individual third-parties’</w:t>
      </w:r>
      <w:r>
        <w:t xml:space="preserve"> </w:t>
      </w:r>
      <w:r w:rsidRPr="00B9150E">
        <w:t>QC</w:t>
      </w:r>
      <w:r>
        <w:t xml:space="preserve"> </w:t>
      </w:r>
      <w:r w:rsidRPr="00B9150E">
        <w:t>data on the CPUC Resource Adequacy (RA) webpage.</w:t>
      </w:r>
    </w:p>
    <w:p w14:paraId="314CDFDC" w14:textId="77777777" w:rsidR="00CF64DD" w:rsidRPr="00B9150E" w:rsidRDefault="00CF64DD" w:rsidP="00CF64DD">
      <w:pPr>
        <w:rPr>
          <w:sz w:val="22"/>
          <w:szCs w:val="22"/>
        </w:rPr>
      </w:pPr>
    </w:p>
    <w:p w14:paraId="6D34BB82" w14:textId="77777777" w:rsidR="00CF64DD" w:rsidRPr="00B9150E" w:rsidRDefault="00CF64DD" w:rsidP="00CF64DD">
      <w:r w:rsidRPr="00B9150E">
        <w:t xml:space="preserve">Energy Division believes that the request to protect DRPs’ </w:t>
      </w:r>
      <w:r>
        <w:t xml:space="preserve">proprietary, </w:t>
      </w:r>
      <w:r w:rsidRPr="00B9150E">
        <w:t>market sensitive information is consistent with existing Commission Decisions.</w:t>
      </w:r>
      <w:r w:rsidRPr="00B9150E">
        <w:rPr>
          <w:rStyle w:val="FootnoteReference"/>
        </w:rPr>
        <w:footnoteReference w:id="4"/>
      </w:r>
      <w:r w:rsidRPr="00B9150E">
        <w:t xml:space="preserve"> In line with this, we note the following:</w:t>
      </w:r>
    </w:p>
    <w:p w14:paraId="1B0A5A19" w14:textId="77777777" w:rsidR="00CF64DD" w:rsidRPr="00B9150E" w:rsidRDefault="00CF64DD" w:rsidP="00CF64DD">
      <w:pPr>
        <w:rPr>
          <w:sz w:val="12"/>
          <w:szCs w:val="12"/>
        </w:rPr>
      </w:pPr>
    </w:p>
    <w:p w14:paraId="772F2BE6" w14:textId="77777777" w:rsidR="00CF64DD" w:rsidRPr="00B9150E" w:rsidRDefault="00CF64DD" w:rsidP="00CF64DD">
      <w:pPr>
        <w:numPr>
          <w:ilvl w:val="1"/>
          <w:numId w:val="5"/>
        </w:numPr>
        <w:overflowPunct/>
        <w:autoSpaceDE/>
        <w:autoSpaceDN/>
        <w:adjustRightInd/>
        <w:ind w:left="540" w:hanging="270"/>
        <w:textAlignment w:val="auto"/>
      </w:pPr>
      <w:bookmarkStart w:id="5" w:name="_Hlk31802908"/>
      <w:bookmarkStart w:id="6" w:name="_Hlk31643173"/>
      <w:r w:rsidRPr="00B9150E">
        <w:t>E</w:t>
      </w:r>
      <w:r>
        <w:t>nergy Division</w:t>
      </w:r>
      <w:r w:rsidRPr="00B9150E">
        <w:t xml:space="preserve"> will work with the DRMEC and IOUs to </w:t>
      </w:r>
      <w:r>
        <w:t>explore</w:t>
      </w:r>
      <w:r w:rsidRPr="00B9150E">
        <w:t xml:space="preserve"> the appropriate measures to protect the confidentiality of DRPs’ proprietary, market-sensitive information and will provide an update on these measures.</w:t>
      </w:r>
      <w:bookmarkEnd w:id="5"/>
      <w:r>
        <w:t xml:space="preserve"> Concurrently,</w:t>
      </w:r>
      <w:r w:rsidRPr="00B9150E">
        <w:t xml:space="preserve"> </w:t>
      </w:r>
      <w:r>
        <w:t xml:space="preserve">ED </w:t>
      </w:r>
      <w:r w:rsidRPr="00B9150E">
        <w:t>suggests that parties</w:t>
      </w:r>
      <w:r>
        <w:t xml:space="preserve"> </w:t>
      </w:r>
      <w:r w:rsidRPr="00B9150E">
        <w:t>pursue this issue in the appropriate Commission proceeding</w:t>
      </w:r>
      <w:r>
        <w:t>.</w:t>
      </w:r>
    </w:p>
    <w:p w14:paraId="67B406F2" w14:textId="77777777" w:rsidR="00CF64DD" w:rsidRPr="00B9150E" w:rsidRDefault="00CF64DD" w:rsidP="00CF64DD">
      <w:pPr>
        <w:numPr>
          <w:ilvl w:val="1"/>
          <w:numId w:val="5"/>
        </w:numPr>
        <w:overflowPunct/>
        <w:autoSpaceDE/>
        <w:autoSpaceDN/>
        <w:adjustRightInd/>
        <w:ind w:left="540" w:hanging="270"/>
        <w:textAlignment w:val="auto"/>
      </w:pPr>
      <w:r w:rsidRPr="00B9150E">
        <w:t>Load Impact Protocol-related filings are required by the Protocols to be submitted to the relevant service lists.</w:t>
      </w:r>
      <w:r w:rsidRPr="00B9150E">
        <w:rPr>
          <w:rStyle w:val="FootnoteReference"/>
        </w:rPr>
        <w:footnoteReference w:id="5"/>
      </w:r>
      <w:r>
        <w:t xml:space="preserve"> C</w:t>
      </w:r>
      <w:r w:rsidRPr="00B9150E">
        <w:t>onsistent with current filing practice</w:t>
      </w:r>
      <w:r>
        <w:t>s</w:t>
      </w:r>
      <w:r w:rsidRPr="00B9150E">
        <w:t xml:space="preserve">, submissions containing confidential </w:t>
      </w:r>
      <w:r w:rsidRPr="00B9150E">
        <w:lastRenderedPageBreak/>
        <w:t xml:space="preserve">information can be redacted when filed to the service lists, while unredacted </w:t>
      </w:r>
      <w:r>
        <w:t xml:space="preserve">confidential </w:t>
      </w:r>
      <w:r w:rsidRPr="00B9150E">
        <w:t xml:space="preserve">versions can be provided to </w:t>
      </w:r>
      <w:r>
        <w:t>ED.</w:t>
      </w:r>
      <w:r w:rsidRPr="00B9150E">
        <w:t xml:space="preserve"> </w:t>
      </w:r>
    </w:p>
    <w:bookmarkEnd w:id="6"/>
    <w:p w14:paraId="007B5D71" w14:textId="77777777" w:rsidR="00CF64DD" w:rsidRPr="00B9150E" w:rsidRDefault="00CF64DD" w:rsidP="00CF64DD">
      <w:pPr>
        <w:numPr>
          <w:ilvl w:val="1"/>
          <w:numId w:val="5"/>
        </w:numPr>
        <w:overflowPunct/>
        <w:autoSpaceDE/>
        <w:autoSpaceDN/>
        <w:adjustRightInd/>
        <w:ind w:left="540" w:hanging="270"/>
        <w:textAlignment w:val="auto"/>
      </w:pPr>
      <w:r w:rsidRPr="00B9150E">
        <w:t>Since the Protocols do not prescribe the distribution list for LIP filings, the DRMEC and ED will submit their feedback only to the applicable party submitting the LIP-related filings.</w:t>
      </w:r>
    </w:p>
    <w:p w14:paraId="17BC5E44" w14:textId="77777777" w:rsidR="00CF64DD" w:rsidRPr="00B9150E" w:rsidRDefault="00CF64DD" w:rsidP="00CF64DD">
      <w:pPr>
        <w:numPr>
          <w:ilvl w:val="1"/>
          <w:numId w:val="5"/>
        </w:numPr>
        <w:overflowPunct/>
        <w:autoSpaceDE/>
        <w:autoSpaceDN/>
        <w:adjustRightInd/>
        <w:ind w:left="540" w:hanging="270"/>
        <w:textAlignment w:val="auto"/>
      </w:pPr>
      <w:r w:rsidRPr="00B9150E">
        <w:t>As Staff is not aware of any CPUC requirement to publish DRP-specific QC values, ED will not post the final DRP-specific QC assignments to the CPUC website.</w:t>
      </w:r>
    </w:p>
    <w:p w14:paraId="3079229C" w14:textId="77777777" w:rsidR="00CF64DD" w:rsidRPr="00B9150E" w:rsidRDefault="00CF64DD" w:rsidP="00CF64DD">
      <w:pPr>
        <w:ind w:left="540"/>
        <w:rPr>
          <w:sz w:val="22"/>
          <w:szCs w:val="22"/>
        </w:rPr>
      </w:pPr>
    </w:p>
    <w:p w14:paraId="323179BA" w14:textId="77777777" w:rsidR="00CF64DD" w:rsidRPr="00B9150E" w:rsidRDefault="00CF64DD" w:rsidP="00CF64DD">
      <w:pPr>
        <w:rPr>
          <w:b/>
          <w:bCs/>
        </w:rPr>
      </w:pPr>
      <w:r w:rsidRPr="00B9150E">
        <w:rPr>
          <w:b/>
          <w:bCs/>
        </w:rPr>
        <w:t xml:space="preserve">B. Exemptions </w:t>
      </w:r>
      <w:r>
        <w:rPr>
          <w:b/>
          <w:bCs/>
        </w:rPr>
        <w:t>f</w:t>
      </w:r>
      <w:r w:rsidRPr="00B9150E">
        <w:rPr>
          <w:b/>
          <w:bCs/>
        </w:rPr>
        <w:t>rom or Changes to Protocols</w:t>
      </w:r>
    </w:p>
    <w:p w14:paraId="2F17957F" w14:textId="77777777" w:rsidR="00CF64DD" w:rsidRPr="00B9150E" w:rsidRDefault="00CF64DD" w:rsidP="00CF64DD">
      <w:pPr>
        <w:rPr>
          <w:sz w:val="12"/>
          <w:szCs w:val="12"/>
        </w:rPr>
      </w:pPr>
    </w:p>
    <w:p w14:paraId="36CEFED1" w14:textId="77777777" w:rsidR="00CF64DD" w:rsidRPr="00B9150E" w:rsidRDefault="00CF64DD" w:rsidP="00CF64DD">
      <w:bookmarkStart w:id="8" w:name="_Hlk31369977"/>
      <w:r w:rsidRPr="00B9150E">
        <w:t>CEDMC states that specific protocol elements should not be applied to third-party DR resources. Accordingly, it requests exemptions from the protocols listed below:</w:t>
      </w:r>
    </w:p>
    <w:p w14:paraId="3E1279AC" w14:textId="77777777" w:rsidR="00CF64DD" w:rsidRPr="00B9150E" w:rsidRDefault="00CF64DD" w:rsidP="00CF64DD">
      <w:pPr>
        <w:rPr>
          <w:sz w:val="12"/>
          <w:szCs w:val="12"/>
        </w:rPr>
      </w:pPr>
    </w:p>
    <w:bookmarkEnd w:id="8"/>
    <w:p w14:paraId="65D28044" w14:textId="77777777" w:rsidR="00CF64DD" w:rsidRPr="00B9150E" w:rsidRDefault="00CF64DD" w:rsidP="00CF64DD">
      <w:pPr>
        <w:numPr>
          <w:ilvl w:val="1"/>
          <w:numId w:val="7"/>
        </w:numPr>
        <w:overflowPunct/>
        <w:autoSpaceDE/>
        <w:autoSpaceDN/>
        <w:adjustRightInd/>
        <w:ind w:left="630" w:hanging="270"/>
        <w:textAlignment w:val="auto"/>
      </w:pPr>
      <w:r w:rsidRPr="00B9150E">
        <w:t xml:space="preserve">Protocols 10, 17 </w:t>
      </w:r>
      <w:r w:rsidRPr="00B9150E">
        <w:tab/>
        <w:t>(ex-post data to inform ex-ante)</w:t>
      </w:r>
    </w:p>
    <w:p w14:paraId="578FA72A" w14:textId="77777777" w:rsidR="00CF64DD" w:rsidRPr="00B9150E" w:rsidRDefault="00CF64DD" w:rsidP="00CF64DD">
      <w:pPr>
        <w:numPr>
          <w:ilvl w:val="1"/>
          <w:numId w:val="7"/>
        </w:numPr>
        <w:overflowPunct/>
        <w:autoSpaceDE/>
        <w:autoSpaceDN/>
        <w:adjustRightInd/>
        <w:ind w:left="630" w:hanging="270"/>
        <w:textAlignment w:val="auto"/>
      </w:pPr>
      <w:r w:rsidRPr="00B9150E">
        <w:t xml:space="preserve">Protocol 26 </w:t>
      </w:r>
      <w:r w:rsidRPr="00B9150E">
        <w:tab/>
      </w:r>
      <w:r w:rsidRPr="00B9150E">
        <w:tab/>
        <w:t>(format and content of reports)</w:t>
      </w:r>
    </w:p>
    <w:p w14:paraId="3D0CD6C4" w14:textId="77777777" w:rsidR="00CF64DD" w:rsidRPr="00B9150E" w:rsidRDefault="00CF64DD" w:rsidP="00CF64DD">
      <w:pPr>
        <w:numPr>
          <w:ilvl w:val="1"/>
          <w:numId w:val="7"/>
        </w:numPr>
        <w:overflowPunct/>
        <w:autoSpaceDE/>
        <w:autoSpaceDN/>
        <w:adjustRightInd/>
        <w:ind w:left="630" w:hanging="270"/>
        <w:textAlignment w:val="auto"/>
      </w:pPr>
      <w:r w:rsidRPr="00B9150E">
        <w:t>Protocols 4, 5, 18, 19</w:t>
      </w:r>
      <w:r>
        <w:tab/>
      </w:r>
      <w:r w:rsidRPr="00B9150E">
        <w:t>(mean changes)</w:t>
      </w:r>
    </w:p>
    <w:p w14:paraId="3097F53F" w14:textId="77777777" w:rsidR="00CF64DD" w:rsidRPr="00B9150E" w:rsidRDefault="00CF64DD" w:rsidP="00CF64DD">
      <w:pPr>
        <w:numPr>
          <w:ilvl w:val="1"/>
          <w:numId w:val="7"/>
        </w:numPr>
        <w:overflowPunct/>
        <w:autoSpaceDE/>
        <w:autoSpaceDN/>
        <w:adjustRightInd/>
        <w:ind w:left="630" w:hanging="270"/>
        <w:textAlignment w:val="auto"/>
      </w:pPr>
      <w:r w:rsidRPr="00B9150E">
        <w:t xml:space="preserve">Protocols 6 and 20 </w:t>
      </w:r>
      <w:r w:rsidRPr="00B9150E">
        <w:tab/>
        <w:t>(probability estimates from the 10</w:t>
      </w:r>
      <w:r w:rsidRPr="00B9150E">
        <w:rPr>
          <w:vertAlign w:val="superscript"/>
        </w:rPr>
        <w:t>th</w:t>
      </w:r>
      <w:r w:rsidRPr="00B9150E">
        <w:t xml:space="preserve"> to 90</w:t>
      </w:r>
      <w:r w:rsidRPr="00B9150E">
        <w:rPr>
          <w:vertAlign w:val="superscript"/>
        </w:rPr>
        <w:t>th</w:t>
      </w:r>
      <w:r w:rsidRPr="00B9150E">
        <w:t xml:space="preserve"> percentiles)</w:t>
      </w:r>
    </w:p>
    <w:p w14:paraId="50A835C5" w14:textId="77777777" w:rsidR="00CF64DD" w:rsidRPr="00B9150E" w:rsidRDefault="00CF64DD" w:rsidP="00CF64DD">
      <w:pPr>
        <w:numPr>
          <w:ilvl w:val="1"/>
          <w:numId w:val="7"/>
        </w:numPr>
        <w:overflowPunct/>
        <w:autoSpaceDE/>
        <w:autoSpaceDN/>
        <w:adjustRightInd/>
        <w:ind w:left="630" w:hanging="270"/>
        <w:textAlignment w:val="auto"/>
      </w:pPr>
      <w:r w:rsidRPr="00B9150E">
        <w:t xml:space="preserve">Protocols 22 </w:t>
      </w:r>
      <w:r w:rsidRPr="00B9150E">
        <w:tab/>
      </w:r>
      <w:r w:rsidRPr="00B9150E">
        <w:tab/>
        <w:t>(1-in-2 and 1-in-10 weather year)</w:t>
      </w:r>
    </w:p>
    <w:p w14:paraId="6023B622" w14:textId="77777777" w:rsidR="00CF64DD" w:rsidRPr="00B9150E" w:rsidRDefault="00CF64DD" w:rsidP="00CF64DD">
      <w:pPr>
        <w:numPr>
          <w:ilvl w:val="1"/>
          <w:numId w:val="7"/>
        </w:numPr>
        <w:overflowPunct/>
        <w:autoSpaceDE/>
        <w:autoSpaceDN/>
        <w:adjustRightInd/>
        <w:ind w:left="630" w:hanging="270"/>
        <w:textAlignment w:val="auto"/>
      </w:pPr>
      <w:r w:rsidRPr="00B9150E">
        <w:t xml:space="preserve">Protocol 24 </w:t>
      </w:r>
      <w:r w:rsidRPr="00B9150E">
        <w:tab/>
      </w:r>
      <w:r w:rsidRPr="00B9150E">
        <w:tab/>
        <w:t>(portfolio-level impacts)</w:t>
      </w:r>
    </w:p>
    <w:p w14:paraId="550F21F3" w14:textId="77777777" w:rsidR="00CF64DD" w:rsidRPr="00B9150E" w:rsidRDefault="00CF64DD" w:rsidP="00CF64DD">
      <w:pPr>
        <w:numPr>
          <w:ilvl w:val="0"/>
          <w:numId w:val="9"/>
        </w:numPr>
        <w:overflowPunct/>
        <w:autoSpaceDE/>
        <w:autoSpaceDN/>
        <w:adjustRightInd/>
        <w:ind w:left="630" w:hanging="270"/>
        <w:textAlignment w:val="auto"/>
      </w:pPr>
      <w:r w:rsidRPr="00B9150E">
        <w:t xml:space="preserve">Protocols 11 – 16 </w:t>
      </w:r>
      <w:r w:rsidRPr="00B9150E">
        <w:tab/>
        <w:t>(measurement of non-event-based resources)</w:t>
      </w:r>
    </w:p>
    <w:p w14:paraId="40963AD3" w14:textId="77777777" w:rsidR="00CF64DD" w:rsidRPr="00B9150E" w:rsidRDefault="00CF64DD" w:rsidP="00CF64DD">
      <w:pPr>
        <w:ind w:firstLine="540"/>
        <w:rPr>
          <w:sz w:val="12"/>
          <w:szCs w:val="12"/>
        </w:rPr>
      </w:pPr>
    </w:p>
    <w:p w14:paraId="5E5B786F" w14:textId="77777777" w:rsidR="00CF64DD" w:rsidRPr="00B9150E" w:rsidRDefault="00CF64DD" w:rsidP="00CF64DD">
      <w:r w:rsidRPr="00B9150E">
        <w:t xml:space="preserve">With respect to Protocols 24 and 11-16, we take this opportunity to clarify that the DRPs can self-exempt from some requirements under applicable circumstances, which is implicit in </w:t>
      </w:r>
      <w:r>
        <w:t>the Protocols</w:t>
      </w:r>
      <w:r w:rsidRPr="00B9150E">
        <w:t>:</w:t>
      </w:r>
    </w:p>
    <w:p w14:paraId="7628149C" w14:textId="77777777" w:rsidR="00CF64DD" w:rsidRPr="00B9150E" w:rsidRDefault="00CF64DD" w:rsidP="00CF64DD">
      <w:pPr>
        <w:rPr>
          <w:sz w:val="12"/>
          <w:szCs w:val="12"/>
        </w:rPr>
      </w:pPr>
    </w:p>
    <w:p w14:paraId="7AABA027" w14:textId="77777777" w:rsidR="00CF64DD" w:rsidRPr="00B9150E" w:rsidRDefault="00CF64DD" w:rsidP="00CF64DD">
      <w:pPr>
        <w:numPr>
          <w:ilvl w:val="1"/>
          <w:numId w:val="6"/>
        </w:numPr>
        <w:overflowPunct/>
        <w:autoSpaceDE/>
        <w:autoSpaceDN/>
        <w:adjustRightInd/>
        <w:ind w:left="630" w:hanging="270"/>
        <w:textAlignment w:val="auto"/>
      </w:pPr>
      <w:r w:rsidRPr="00B9150E">
        <w:t>Protocol 24: A third-party provider offering a single DR program would not have portfolio-level impacts to be measured. It follows that the party would not need to adhere to this Protocol.</w:t>
      </w:r>
    </w:p>
    <w:p w14:paraId="252BDF32" w14:textId="77777777" w:rsidR="00CF64DD" w:rsidRPr="00B9150E" w:rsidRDefault="00CF64DD" w:rsidP="00CF64DD">
      <w:pPr>
        <w:numPr>
          <w:ilvl w:val="1"/>
          <w:numId w:val="6"/>
        </w:numPr>
        <w:overflowPunct/>
        <w:autoSpaceDE/>
        <w:autoSpaceDN/>
        <w:adjustRightInd/>
        <w:ind w:left="630" w:hanging="270"/>
        <w:textAlignment w:val="auto"/>
      </w:pPr>
      <w:r w:rsidRPr="00B9150E">
        <w:t>Protocols 11 – 16: Similarly, third parties offering</w:t>
      </w:r>
      <w:r>
        <w:t xml:space="preserve"> only</w:t>
      </w:r>
      <w:r w:rsidRPr="00B9150E">
        <w:t xml:space="preserve"> event-based resources would not need to follow </w:t>
      </w:r>
      <w:r>
        <w:t xml:space="preserve">these </w:t>
      </w:r>
      <w:r w:rsidRPr="00B9150E">
        <w:t>protocols</w:t>
      </w:r>
      <w:r>
        <w:t xml:space="preserve"> for such programs.</w:t>
      </w:r>
    </w:p>
    <w:p w14:paraId="1F1E51B7" w14:textId="77777777" w:rsidR="00CF64DD" w:rsidRPr="00B9150E" w:rsidRDefault="00CF64DD" w:rsidP="00CF64DD">
      <w:pPr>
        <w:ind w:left="630" w:hanging="270"/>
        <w:rPr>
          <w:sz w:val="12"/>
          <w:szCs w:val="12"/>
        </w:rPr>
      </w:pPr>
    </w:p>
    <w:p w14:paraId="69319712" w14:textId="77777777" w:rsidR="00CF64DD" w:rsidRPr="00B9150E" w:rsidRDefault="00CF64DD" w:rsidP="00CF64DD">
      <w:r w:rsidRPr="00B9150E">
        <w:t>With respect to the other CEDMC</w:t>
      </w:r>
      <w:r>
        <w:t xml:space="preserve"> </w:t>
      </w:r>
      <w:r w:rsidRPr="00B9150E">
        <w:t>request</w:t>
      </w:r>
      <w:r>
        <w:t>s</w:t>
      </w:r>
      <w:r w:rsidRPr="00B9150E">
        <w:t xml:space="preserve"> listed in items 1-5 above, ED believes it does not have the authority to grant these exemptions.</w:t>
      </w:r>
    </w:p>
    <w:p w14:paraId="2E7D7338" w14:textId="77777777" w:rsidR="00CF64DD" w:rsidRPr="00B9150E" w:rsidRDefault="00CF64DD" w:rsidP="00CF64DD">
      <w:pPr>
        <w:rPr>
          <w:sz w:val="12"/>
          <w:szCs w:val="12"/>
        </w:rPr>
      </w:pPr>
    </w:p>
    <w:p w14:paraId="1DB9F17B" w14:textId="77777777" w:rsidR="00CF64DD" w:rsidRPr="00B9150E" w:rsidRDefault="00CF64DD" w:rsidP="00CF64DD">
      <w:r w:rsidRPr="00B9150E">
        <w:t xml:space="preserve">In its comments, Tesla requests the creation of a new protocol to assess the QC for behind-the-meter (BTM) storage resources. </w:t>
      </w:r>
    </w:p>
    <w:p w14:paraId="0171AFC3" w14:textId="77777777" w:rsidR="00CF64DD" w:rsidRPr="00B9150E" w:rsidRDefault="00CF64DD" w:rsidP="00CF64DD">
      <w:pPr>
        <w:rPr>
          <w:sz w:val="12"/>
          <w:szCs w:val="12"/>
        </w:rPr>
      </w:pPr>
    </w:p>
    <w:p w14:paraId="01708889" w14:textId="77777777" w:rsidR="00CF64DD" w:rsidRPr="00B9150E" w:rsidRDefault="00CF64DD" w:rsidP="00CF64DD">
      <w:r w:rsidRPr="00B9150E">
        <w:t>Energy Division believes it does not have authority to create new protocol requirements. Moreover, Staff interprets existing CPUC Decisions</w:t>
      </w:r>
      <w:r w:rsidRPr="00B9150E">
        <w:rPr>
          <w:rStyle w:val="FootnoteReference"/>
        </w:rPr>
        <w:footnoteReference w:id="6"/>
      </w:r>
      <w:r w:rsidRPr="00B9150E">
        <w:t xml:space="preserve"> as requiring the application of LIPs for BTM storage resources seeking RA credit if the resource is providing load reduction as proxy DR, permanent load-shift, or event-based DR.</w:t>
      </w:r>
    </w:p>
    <w:p w14:paraId="5532A831" w14:textId="77777777" w:rsidR="00CF64DD" w:rsidRPr="00B9150E" w:rsidRDefault="00CF64DD" w:rsidP="00CF64DD">
      <w:pPr>
        <w:rPr>
          <w:sz w:val="22"/>
          <w:szCs w:val="22"/>
        </w:rPr>
      </w:pPr>
    </w:p>
    <w:p w14:paraId="136B3C86" w14:textId="77777777" w:rsidR="00CF64DD" w:rsidRPr="00B9150E" w:rsidRDefault="00CF64DD" w:rsidP="00CF64DD">
      <w:pPr>
        <w:ind w:left="360" w:hanging="360"/>
        <w:rPr>
          <w:b/>
          <w:bCs/>
        </w:rPr>
      </w:pPr>
      <w:r w:rsidRPr="00B9150E">
        <w:rPr>
          <w:b/>
          <w:bCs/>
        </w:rPr>
        <w:t>C. Process Changes</w:t>
      </w:r>
    </w:p>
    <w:p w14:paraId="13FDAE4F" w14:textId="77777777" w:rsidR="00CF64DD" w:rsidRPr="00B9150E" w:rsidRDefault="00CF64DD" w:rsidP="00CF64DD">
      <w:pPr>
        <w:rPr>
          <w:sz w:val="12"/>
          <w:szCs w:val="12"/>
        </w:rPr>
      </w:pPr>
    </w:p>
    <w:p w14:paraId="0614C712" w14:textId="77777777" w:rsidR="00CF64DD" w:rsidRPr="00B9150E" w:rsidRDefault="00CF64DD" w:rsidP="00CF64DD">
      <w:pPr>
        <w:numPr>
          <w:ilvl w:val="0"/>
          <w:numId w:val="8"/>
        </w:numPr>
        <w:overflowPunct/>
        <w:autoSpaceDE/>
        <w:autoSpaceDN/>
        <w:adjustRightInd/>
        <w:ind w:left="630"/>
        <w:textAlignment w:val="auto"/>
      </w:pPr>
      <w:r w:rsidRPr="00B9150E">
        <w:t xml:space="preserve">CEDMC requests additional time to file draft Evaluation Plans, with the deadline moved from February 21 to February 28. </w:t>
      </w:r>
    </w:p>
    <w:p w14:paraId="6625C41F" w14:textId="77777777" w:rsidR="00CF64DD" w:rsidRPr="00B9150E" w:rsidRDefault="00CF64DD" w:rsidP="00CF64DD">
      <w:pPr>
        <w:ind w:left="630" w:hanging="360"/>
        <w:rPr>
          <w:sz w:val="12"/>
          <w:szCs w:val="12"/>
        </w:rPr>
      </w:pPr>
    </w:p>
    <w:p w14:paraId="51E1B725" w14:textId="77777777" w:rsidR="00CF64DD" w:rsidRPr="00B9150E" w:rsidRDefault="00CF64DD" w:rsidP="00CF64DD">
      <w:pPr>
        <w:ind w:left="630"/>
      </w:pPr>
      <w:r w:rsidRPr="00B9150E">
        <w:t>ED accepts this request and accordingly extends the subsequent deadline for comments on the draft Plans from March 13 to March 20.</w:t>
      </w:r>
    </w:p>
    <w:p w14:paraId="5B3BF722" w14:textId="77777777" w:rsidR="00CF64DD" w:rsidRPr="00595642" w:rsidRDefault="00CF64DD" w:rsidP="00CF64DD">
      <w:pPr>
        <w:ind w:firstLine="540"/>
        <w:rPr>
          <w:sz w:val="22"/>
          <w:szCs w:val="22"/>
        </w:rPr>
      </w:pPr>
    </w:p>
    <w:p w14:paraId="2684B463" w14:textId="77777777" w:rsidR="00CF64DD" w:rsidRPr="00B9150E" w:rsidRDefault="00CF64DD" w:rsidP="00CF64DD">
      <w:pPr>
        <w:numPr>
          <w:ilvl w:val="0"/>
          <w:numId w:val="8"/>
        </w:numPr>
        <w:overflowPunct/>
        <w:autoSpaceDE/>
        <w:autoSpaceDN/>
        <w:adjustRightInd/>
        <w:ind w:left="630"/>
        <w:textAlignment w:val="auto"/>
      </w:pPr>
      <w:r w:rsidRPr="00B9150E">
        <w:t xml:space="preserve">CEDMC requests that the Demand Response section submits eligible DR capacity value on June 29, instead of August 17, and that eligible QC be assigned to the DRPs before September 1. </w:t>
      </w:r>
    </w:p>
    <w:p w14:paraId="4C08F60F" w14:textId="77777777" w:rsidR="00CF64DD" w:rsidRPr="00B9150E" w:rsidRDefault="00CF64DD" w:rsidP="00CF64DD">
      <w:pPr>
        <w:ind w:firstLine="540"/>
        <w:rPr>
          <w:sz w:val="12"/>
          <w:szCs w:val="12"/>
        </w:rPr>
      </w:pPr>
    </w:p>
    <w:p w14:paraId="0ED46ADA" w14:textId="77777777" w:rsidR="00CF64DD" w:rsidRPr="00B9150E" w:rsidRDefault="00CF64DD" w:rsidP="00CF64DD">
      <w:pPr>
        <w:ind w:left="630"/>
      </w:pPr>
      <w:r w:rsidRPr="00B9150E">
        <w:lastRenderedPageBreak/>
        <w:t xml:space="preserve">ED cannot accommodate these requests for the 2020 filings but will make every effort to conclude the QC assignments as early as possible. </w:t>
      </w:r>
    </w:p>
    <w:p w14:paraId="0613F907" w14:textId="77777777" w:rsidR="00CF64DD" w:rsidRPr="00595642" w:rsidRDefault="00CF64DD" w:rsidP="00CF64DD">
      <w:pPr>
        <w:ind w:left="630"/>
        <w:rPr>
          <w:sz w:val="22"/>
          <w:szCs w:val="22"/>
        </w:rPr>
      </w:pPr>
    </w:p>
    <w:p w14:paraId="47452E20" w14:textId="77777777" w:rsidR="00CF64DD" w:rsidRPr="00B9150E" w:rsidRDefault="00CF64DD" w:rsidP="00CF64DD">
      <w:pPr>
        <w:ind w:left="630" w:hanging="360"/>
      </w:pPr>
      <w:r w:rsidRPr="00B9150E">
        <w:t>3.</w:t>
      </w:r>
      <w:r w:rsidRPr="00B9150E">
        <w:tab/>
        <w:t xml:space="preserve">CEDMC requests </w:t>
      </w:r>
      <w:r>
        <w:t xml:space="preserve">that </w:t>
      </w:r>
      <w:r w:rsidRPr="00B9150E">
        <w:t>the deadline to submit names of counter-party entities be moved from October 1 to October 31.</w:t>
      </w:r>
    </w:p>
    <w:p w14:paraId="44075E63" w14:textId="77777777" w:rsidR="00CF64DD" w:rsidRPr="00B9150E" w:rsidRDefault="00CF64DD" w:rsidP="00CF64DD">
      <w:pPr>
        <w:ind w:left="630"/>
        <w:rPr>
          <w:sz w:val="12"/>
          <w:szCs w:val="12"/>
        </w:rPr>
      </w:pPr>
    </w:p>
    <w:p w14:paraId="69BCD0DB" w14:textId="11323E62" w:rsidR="00CF64DD" w:rsidRPr="00B9150E" w:rsidRDefault="00CF64DD" w:rsidP="00CF64DD">
      <w:pPr>
        <w:ind w:left="630"/>
      </w:pPr>
      <w:r>
        <w:t>ED</w:t>
      </w:r>
      <w:r w:rsidRPr="00B9150E">
        <w:t xml:space="preserve"> agrees to move this deadline to October 15.</w:t>
      </w:r>
      <w:r w:rsidR="00D10B64">
        <w:rPr>
          <w:rStyle w:val="FootnoteReference"/>
        </w:rPr>
        <w:footnoteReference w:id="7"/>
      </w:r>
    </w:p>
    <w:p w14:paraId="0BA55A0C" w14:textId="77777777" w:rsidR="00CF64DD" w:rsidRPr="00595642" w:rsidRDefault="00CF64DD" w:rsidP="00CF64DD">
      <w:pPr>
        <w:ind w:left="630"/>
        <w:rPr>
          <w:sz w:val="22"/>
          <w:szCs w:val="22"/>
        </w:rPr>
      </w:pPr>
    </w:p>
    <w:p w14:paraId="617C34D5" w14:textId="77777777" w:rsidR="00CF64DD" w:rsidRPr="00B9150E" w:rsidRDefault="00CF64DD" w:rsidP="00CF64DD">
      <w:pPr>
        <w:ind w:left="630" w:hanging="360"/>
      </w:pPr>
      <w:r w:rsidRPr="00B9150E">
        <w:t>4.</w:t>
      </w:r>
      <w:r w:rsidRPr="00B9150E">
        <w:tab/>
        <w:t xml:space="preserve">CEDMC requests that a mid-cycle process be created to allow third parties to adjust their QC to reflect new customer enrollments. The additional capacity would allow third parties to pursue additional resources in response to LSEs’ Requests for Offers announced after the filing of the LIP reports. </w:t>
      </w:r>
    </w:p>
    <w:p w14:paraId="7503AB3D" w14:textId="77777777" w:rsidR="00CF64DD" w:rsidRPr="00B9150E" w:rsidRDefault="00CF64DD" w:rsidP="00CF64DD">
      <w:pPr>
        <w:ind w:left="630"/>
        <w:rPr>
          <w:sz w:val="12"/>
          <w:szCs w:val="12"/>
        </w:rPr>
      </w:pPr>
    </w:p>
    <w:p w14:paraId="28CD3787" w14:textId="77777777" w:rsidR="00CF64DD" w:rsidRPr="00B9150E" w:rsidRDefault="00CF64DD" w:rsidP="00CF64DD">
      <w:pPr>
        <w:ind w:left="630"/>
      </w:pPr>
      <w:r w:rsidRPr="00B9150E">
        <w:t>ED is unable to accept this request because the existing process is prescribed by Decision</w:t>
      </w:r>
      <w:r>
        <w:rPr>
          <w:rStyle w:val="FootnoteReference"/>
        </w:rPr>
        <w:footnoteReference w:id="8"/>
      </w:r>
      <w:r w:rsidRPr="00B9150E">
        <w:t xml:space="preserve"> and no provision exists which allows amendments to filings.</w:t>
      </w:r>
    </w:p>
    <w:p w14:paraId="63D7ECF7" w14:textId="77777777" w:rsidR="00CF64DD" w:rsidRPr="00595642" w:rsidRDefault="00CF64DD" w:rsidP="00CF64DD">
      <w:pPr>
        <w:ind w:left="630"/>
        <w:rPr>
          <w:sz w:val="22"/>
          <w:szCs w:val="22"/>
        </w:rPr>
      </w:pPr>
    </w:p>
    <w:p w14:paraId="6DAA9F09" w14:textId="77777777" w:rsidR="00CF64DD" w:rsidRPr="00B9150E" w:rsidRDefault="00CF64DD" w:rsidP="00CF64DD">
      <w:pPr>
        <w:ind w:left="630" w:hanging="360"/>
      </w:pPr>
      <w:r w:rsidRPr="00B9150E">
        <w:t>5.</w:t>
      </w:r>
      <w:r w:rsidRPr="00B9150E">
        <w:tab/>
        <w:t>Both PG&amp;E and CEDMC request that the process by which ED determines the final QC values be made more transparent.</w:t>
      </w:r>
    </w:p>
    <w:p w14:paraId="45A41E45" w14:textId="77777777" w:rsidR="00CF64DD" w:rsidRPr="00B9150E" w:rsidRDefault="00CF64DD" w:rsidP="00CF64DD">
      <w:pPr>
        <w:rPr>
          <w:sz w:val="12"/>
          <w:szCs w:val="12"/>
        </w:rPr>
      </w:pPr>
    </w:p>
    <w:p w14:paraId="442A1C9A" w14:textId="77777777" w:rsidR="00CF64DD" w:rsidRPr="00B9150E" w:rsidRDefault="00CF64DD" w:rsidP="00CF64DD">
      <w:pPr>
        <w:ind w:left="630"/>
      </w:pPr>
      <w:r w:rsidRPr="00B9150E">
        <w:t xml:space="preserve">ED </w:t>
      </w:r>
      <w:bookmarkStart w:id="12" w:name="_Hlk31977807"/>
      <w:r w:rsidRPr="00B9150E">
        <w:t>suggests that parties pursue this issue in the appropriate Commission proceeding</w:t>
      </w:r>
      <w:bookmarkEnd w:id="12"/>
      <w:r w:rsidRPr="00B9150E">
        <w:t>.</w:t>
      </w:r>
    </w:p>
    <w:p w14:paraId="1E980A20" w14:textId="77777777" w:rsidR="00CF64DD" w:rsidRPr="00595642" w:rsidRDefault="00CF64DD" w:rsidP="00CF64DD">
      <w:pPr>
        <w:ind w:left="630"/>
        <w:rPr>
          <w:sz w:val="22"/>
          <w:szCs w:val="22"/>
        </w:rPr>
      </w:pPr>
    </w:p>
    <w:p w14:paraId="49C940B8" w14:textId="77777777" w:rsidR="00CF64DD" w:rsidRPr="00B9150E" w:rsidRDefault="00CF64DD" w:rsidP="00CF64DD">
      <w:pPr>
        <w:ind w:left="630" w:hanging="360"/>
      </w:pPr>
      <w:r w:rsidRPr="00B9150E">
        <w:t>6.</w:t>
      </w:r>
      <w:r w:rsidRPr="00B9150E">
        <w:tab/>
        <w:t>PG&amp;E suggests that CAISO representatives be included in the DRMEC</w:t>
      </w:r>
      <w:r>
        <w:t>;</w:t>
      </w:r>
      <w:r w:rsidRPr="00B9150E">
        <w:t xml:space="preserve"> and </w:t>
      </w:r>
      <w:r>
        <w:t xml:space="preserve">the </w:t>
      </w:r>
      <w:r w:rsidRPr="00B9150E">
        <w:t>CEDMC asks that it be added to the DRMEC.</w:t>
      </w:r>
      <w:r>
        <w:t xml:space="preserve"> The</w:t>
      </w:r>
      <w:r w:rsidRPr="00B9150E">
        <w:t xml:space="preserve"> CEDMC supports PG&amp;E’s suggestion. No stakeholder opposed either party’s request.</w:t>
      </w:r>
    </w:p>
    <w:p w14:paraId="48C4BD8B" w14:textId="77777777" w:rsidR="00CF64DD" w:rsidRPr="00B9150E" w:rsidRDefault="00CF64DD" w:rsidP="00CF64DD">
      <w:pPr>
        <w:ind w:left="630" w:hanging="360"/>
        <w:rPr>
          <w:sz w:val="12"/>
          <w:szCs w:val="12"/>
        </w:rPr>
      </w:pPr>
    </w:p>
    <w:p w14:paraId="3EA84A26" w14:textId="77777777" w:rsidR="00CF64DD" w:rsidRPr="00B9150E" w:rsidRDefault="00CF64DD" w:rsidP="00CF64DD">
      <w:pPr>
        <w:ind w:left="630"/>
      </w:pPr>
      <w:r>
        <w:t xml:space="preserve">ED </w:t>
      </w:r>
      <w:r w:rsidRPr="00B9150E">
        <w:t xml:space="preserve">suggests that parties pursue this issue in the appropriate Commission proceeding. </w:t>
      </w:r>
    </w:p>
    <w:p w14:paraId="21EB5E3F" w14:textId="5D8B5B38" w:rsidR="005117AE" w:rsidRDefault="005117AE" w:rsidP="005117AE">
      <w:pPr>
        <w:jc w:val="center"/>
        <w:rPr>
          <w:rFonts w:asciiTheme="minorHAnsi" w:hAnsiTheme="minorHAnsi"/>
        </w:rPr>
      </w:pPr>
    </w:p>
    <w:p w14:paraId="4637665C" w14:textId="565EAA4B" w:rsidR="005117AE" w:rsidRDefault="005117AE" w:rsidP="005117AE">
      <w:pPr>
        <w:jc w:val="center"/>
        <w:rPr>
          <w:rFonts w:asciiTheme="minorHAnsi" w:hAnsiTheme="minorHAnsi"/>
        </w:rPr>
      </w:pPr>
    </w:p>
    <w:p w14:paraId="08B7D50B" w14:textId="77777777" w:rsidR="005117AE" w:rsidRPr="00BD1BA0" w:rsidRDefault="005117AE" w:rsidP="005117AE">
      <w:pPr>
        <w:jc w:val="center"/>
        <w:rPr>
          <w:rFonts w:asciiTheme="minorHAnsi" w:hAnsiTheme="minorHAnsi"/>
        </w:rPr>
      </w:pPr>
    </w:p>
    <w:sectPr w:rsidR="005117AE" w:rsidRPr="00BD1BA0" w:rsidSect="00E275CB">
      <w:headerReference w:type="even" r:id="rId14"/>
      <w:headerReference w:type="default" r:id="rId15"/>
      <w:footerReference w:type="even" r:id="rId16"/>
      <w:footerReference w:type="default" r:id="rId17"/>
      <w:headerReference w:type="first" r:id="rId18"/>
      <w:footerReference w:type="first" r:id="rId19"/>
      <w:pgSz w:w="12240" w:h="15840"/>
      <w:pgMar w:top="540" w:right="990" w:bottom="90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FC0B" w14:textId="77777777" w:rsidR="00C3230B" w:rsidRDefault="00C3230B" w:rsidP="00D83026">
      <w:r>
        <w:separator/>
      </w:r>
    </w:p>
  </w:endnote>
  <w:endnote w:type="continuationSeparator" w:id="0">
    <w:p w14:paraId="2C80A534" w14:textId="77777777" w:rsidR="00C3230B" w:rsidRDefault="00C3230B" w:rsidP="00D8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C955" w14:textId="77777777" w:rsidR="005515AE" w:rsidRDefault="00551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b/>
      </w:rPr>
      <w:id w:val="-238640546"/>
      <w:docPartObj>
        <w:docPartGallery w:val="Page Numbers (Bottom of Page)"/>
        <w:docPartUnique/>
      </w:docPartObj>
    </w:sdtPr>
    <w:sdtEndPr>
      <w:rPr>
        <w:noProof/>
      </w:rPr>
    </w:sdtEndPr>
    <w:sdtContent>
      <w:p w14:paraId="2E246592" w14:textId="77777777" w:rsidR="004C5B27" w:rsidRPr="00C44C8C" w:rsidRDefault="004C5B27" w:rsidP="00C44C8C">
        <w:pPr>
          <w:tabs>
            <w:tab w:val="center" w:pos="4680"/>
            <w:tab w:val="left" w:pos="7200"/>
            <w:tab w:val="right" w:pos="9360"/>
            <w:tab w:val="right" w:pos="9990"/>
          </w:tabs>
          <w:rPr>
            <w:rFonts w:ascii="Helvetica" w:hAnsi="Helvetica" w:cs="Helvetica"/>
            <w:b/>
            <w:sz w:val="12"/>
            <w:szCs w:val="12"/>
          </w:rPr>
        </w:pPr>
      </w:p>
      <w:p w14:paraId="092DBB6F" w14:textId="6F5070EC" w:rsidR="004C5B27" w:rsidRPr="00C44C8C" w:rsidRDefault="004C5B27" w:rsidP="00C44C8C">
        <w:pPr>
          <w:pBdr>
            <w:top w:val="single" w:sz="4" w:space="1" w:color="auto"/>
          </w:pBdr>
          <w:tabs>
            <w:tab w:val="center" w:pos="4680"/>
            <w:tab w:val="left" w:pos="7200"/>
            <w:tab w:val="right" w:pos="9360"/>
            <w:tab w:val="right" w:pos="9990"/>
          </w:tabs>
          <w:rPr>
            <w:rFonts w:ascii="Helvetica" w:hAnsi="Helvetica" w:cs="Helvetica"/>
            <w:b/>
          </w:rPr>
        </w:pPr>
        <w:r w:rsidRPr="00526A62">
          <w:rPr>
            <w:rFonts w:ascii="Helvetica" w:hAnsi="Helvetica" w:cs="Helvetica"/>
            <w:b/>
          </w:rPr>
          <w:tab/>
        </w:r>
        <w:r w:rsidRPr="00526A62">
          <w:rPr>
            <w:rFonts w:ascii="Helvetica" w:hAnsi="Helvetica" w:cs="Helvetica"/>
            <w:b/>
          </w:rPr>
          <w:tab/>
        </w:r>
        <w:r w:rsidRPr="00526A62">
          <w:rPr>
            <w:rFonts w:ascii="Helvetica" w:hAnsi="Helvetica" w:cs="Helvetica"/>
            <w:b/>
          </w:rPr>
          <w:tab/>
        </w:r>
        <w:r w:rsidRPr="00526A62">
          <w:rPr>
            <w:rFonts w:ascii="Helvetica" w:hAnsi="Helvetica" w:cs="Helvetica"/>
            <w:b/>
          </w:rPr>
          <w:fldChar w:fldCharType="begin"/>
        </w:r>
        <w:r w:rsidRPr="00526A62">
          <w:rPr>
            <w:rFonts w:ascii="Helvetica" w:hAnsi="Helvetica" w:cs="Helvetica"/>
            <w:b/>
          </w:rPr>
          <w:instrText xml:space="preserve"> PAGE   \* MERGEFORMAT </w:instrText>
        </w:r>
        <w:r w:rsidRPr="00526A62">
          <w:rPr>
            <w:rFonts w:ascii="Helvetica" w:hAnsi="Helvetica" w:cs="Helvetica"/>
            <w:b/>
          </w:rPr>
          <w:fldChar w:fldCharType="separate"/>
        </w:r>
        <w:r w:rsidRPr="00526A62">
          <w:rPr>
            <w:rFonts w:ascii="Helvetica" w:hAnsi="Helvetica" w:cs="Helvetica"/>
            <w:b/>
          </w:rPr>
          <w:t>1</w:t>
        </w:r>
        <w:r w:rsidRPr="00526A62">
          <w:rPr>
            <w:rFonts w:ascii="Helvetica" w:hAnsi="Helvetica" w:cs="Helvetica"/>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b/>
      </w:rPr>
      <w:id w:val="1131439224"/>
      <w:docPartObj>
        <w:docPartGallery w:val="Page Numbers (Bottom of Page)"/>
        <w:docPartUnique/>
      </w:docPartObj>
    </w:sdtPr>
    <w:sdtEndPr>
      <w:rPr>
        <w:noProof/>
      </w:rPr>
    </w:sdtEndPr>
    <w:sdtContent>
      <w:p w14:paraId="2C4CFE1E" w14:textId="77777777" w:rsidR="004C5B27" w:rsidRPr="00C44C8C" w:rsidRDefault="004C5B27" w:rsidP="00C44C8C">
        <w:pPr>
          <w:tabs>
            <w:tab w:val="center" w:pos="4680"/>
            <w:tab w:val="left" w:pos="7200"/>
            <w:tab w:val="right" w:pos="9360"/>
            <w:tab w:val="right" w:pos="9990"/>
          </w:tabs>
          <w:rPr>
            <w:rFonts w:ascii="Helvetica" w:hAnsi="Helvetica" w:cs="Helvetica"/>
            <w:b/>
            <w:sz w:val="12"/>
            <w:szCs w:val="12"/>
          </w:rPr>
        </w:pPr>
      </w:p>
      <w:p w14:paraId="0309B418" w14:textId="128436F5" w:rsidR="004C5B27" w:rsidRPr="00C44C8C" w:rsidRDefault="004C5B27" w:rsidP="00C44C8C">
        <w:pPr>
          <w:pBdr>
            <w:top w:val="single" w:sz="4" w:space="1" w:color="auto"/>
          </w:pBdr>
          <w:tabs>
            <w:tab w:val="center" w:pos="4680"/>
            <w:tab w:val="left" w:pos="7200"/>
            <w:tab w:val="right" w:pos="9360"/>
            <w:tab w:val="right" w:pos="9990"/>
          </w:tabs>
          <w:rPr>
            <w:rFonts w:ascii="Helvetica" w:hAnsi="Helvetica" w:cs="Helvetica"/>
            <w:b/>
          </w:rPr>
        </w:pPr>
        <w:r w:rsidRPr="00BC346E">
          <w:rPr>
            <w:rFonts w:ascii="Helvetica" w:hAnsi="Helvetica" w:cs="Helvetica"/>
            <w:b/>
            <w:color w:val="FF0000"/>
          </w:rPr>
          <w:t xml:space="preserve"> </w:t>
        </w:r>
        <w:r w:rsidRPr="009A45F8">
          <w:rPr>
            <w:rFonts w:ascii="Helvetica" w:hAnsi="Helvetica" w:cs="Helvetica"/>
            <w:b/>
          </w:rPr>
          <w:tab/>
        </w:r>
        <w:r w:rsidRPr="009A45F8">
          <w:rPr>
            <w:rFonts w:ascii="Helvetica" w:hAnsi="Helvetica" w:cs="Helvetica"/>
            <w:b/>
          </w:rPr>
          <w:tab/>
        </w:r>
        <w:r w:rsidRPr="009A45F8">
          <w:rPr>
            <w:rFonts w:ascii="Helvetica" w:hAnsi="Helvetica" w:cs="Helvetica"/>
            <w:b/>
          </w:rPr>
          <w:tab/>
        </w:r>
        <w:r w:rsidRPr="00526A62">
          <w:rPr>
            <w:rFonts w:ascii="Helvetica" w:hAnsi="Helvetica" w:cs="Helvetica"/>
            <w:b/>
          </w:rPr>
          <w:fldChar w:fldCharType="begin"/>
        </w:r>
        <w:r w:rsidRPr="00526A62">
          <w:rPr>
            <w:rFonts w:ascii="Helvetica" w:hAnsi="Helvetica" w:cs="Helvetica"/>
            <w:b/>
          </w:rPr>
          <w:instrText xml:space="preserve"> PAGE   \* MERGEFORMAT </w:instrText>
        </w:r>
        <w:r w:rsidRPr="00526A62">
          <w:rPr>
            <w:rFonts w:ascii="Helvetica" w:hAnsi="Helvetica" w:cs="Helvetica"/>
            <w:b/>
          </w:rPr>
          <w:fldChar w:fldCharType="separate"/>
        </w:r>
        <w:r>
          <w:rPr>
            <w:rFonts w:ascii="Helvetica" w:hAnsi="Helvetica" w:cs="Helvetica"/>
            <w:b/>
          </w:rPr>
          <w:t>2</w:t>
        </w:r>
        <w:r w:rsidRPr="00526A62">
          <w:rPr>
            <w:rFonts w:ascii="Helvetica" w:hAnsi="Helvetica" w:cs="Helvetica"/>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7A86" w14:textId="77777777" w:rsidR="00C3230B" w:rsidRDefault="00C3230B" w:rsidP="00D83026">
      <w:r>
        <w:separator/>
      </w:r>
    </w:p>
  </w:footnote>
  <w:footnote w:type="continuationSeparator" w:id="0">
    <w:p w14:paraId="479E30AC" w14:textId="77777777" w:rsidR="00C3230B" w:rsidRDefault="00C3230B" w:rsidP="00D83026">
      <w:r>
        <w:continuationSeparator/>
      </w:r>
    </w:p>
  </w:footnote>
  <w:footnote w:id="1">
    <w:p w14:paraId="5AA187F4" w14:textId="71BF5476" w:rsidR="004C5B27" w:rsidRPr="00833147" w:rsidRDefault="004C5B27" w:rsidP="00DA7990">
      <w:pPr>
        <w:pStyle w:val="FootnoteText"/>
        <w:rPr>
          <w:rFonts w:asciiTheme="minorHAnsi" w:hAnsiTheme="minorHAnsi" w:cstheme="minorHAnsi"/>
        </w:rPr>
      </w:pPr>
      <w:r w:rsidRPr="00833147">
        <w:rPr>
          <w:rStyle w:val="FootnoteReference"/>
          <w:rFonts w:asciiTheme="minorHAnsi" w:hAnsiTheme="minorHAnsi" w:cstheme="minorHAnsi"/>
        </w:rPr>
        <w:footnoteRef/>
      </w:r>
      <w:r w:rsidRPr="00833147">
        <w:rPr>
          <w:rFonts w:asciiTheme="minorHAnsi" w:hAnsiTheme="minorHAnsi" w:cstheme="minorHAnsi"/>
        </w:rPr>
        <w:t xml:space="preserve"> </w:t>
      </w:r>
      <w:hyperlink r:id="rId1" w:history="1">
        <w:r w:rsidRPr="00833147">
          <w:rPr>
            <w:rStyle w:val="Hyperlink"/>
            <w:rFonts w:asciiTheme="minorHAnsi" w:hAnsiTheme="minorHAnsi" w:cstheme="minorHAnsi"/>
          </w:rPr>
          <w:t>http://docs.cpuc.ca.gov/PublishedDocs/Published/G000/M309/K463/309463502.PDF</w:t>
        </w:r>
      </w:hyperlink>
      <w:r w:rsidRPr="00833147">
        <w:rPr>
          <w:rFonts w:asciiTheme="minorHAnsi" w:hAnsiTheme="minorHAnsi" w:cstheme="minorHAnsi"/>
        </w:rPr>
        <w:t xml:space="preserve"> ; at 41-42</w:t>
      </w:r>
    </w:p>
  </w:footnote>
  <w:footnote w:id="2">
    <w:p w14:paraId="3B3455B6" w14:textId="399DA9FF" w:rsidR="004C5B27" w:rsidRPr="000D6619" w:rsidRDefault="004C5B27" w:rsidP="000D6619">
      <w:pPr>
        <w:pStyle w:val="FootnoteText"/>
        <w:ind w:left="180" w:hanging="180"/>
        <w:rPr>
          <w:rFonts w:asciiTheme="minorHAnsi" w:hAnsiTheme="minorHAnsi" w:cstheme="minorHAnsi"/>
          <w:sz w:val="16"/>
          <w:szCs w:val="16"/>
        </w:rPr>
      </w:pPr>
      <w:r w:rsidRPr="00833147">
        <w:rPr>
          <w:rStyle w:val="FootnoteReference"/>
          <w:rFonts w:asciiTheme="minorHAnsi" w:hAnsiTheme="minorHAnsi" w:cstheme="minorHAnsi"/>
        </w:rPr>
        <w:footnoteRef/>
      </w:r>
      <w:r w:rsidRPr="00833147">
        <w:rPr>
          <w:rFonts w:asciiTheme="minorHAnsi" w:hAnsiTheme="minorHAnsi" w:cstheme="minorHAnsi"/>
        </w:rPr>
        <w:t xml:space="preserve"> The party filing the evaluation plan is responsible for publishing a small summary of comments received and how or if they were incorporated into the final evaluation plan for each load impact study. The final evaluation plan will be made available to Joint Staff and parties upon request. (LIP 27, Section 10.1.3 at 147.)</w:t>
      </w:r>
    </w:p>
  </w:footnote>
  <w:footnote w:id="3">
    <w:p w14:paraId="531CFC98" w14:textId="77777777" w:rsidR="00CF64DD" w:rsidRPr="00B9150E" w:rsidRDefault="00CF64DD" w:rsidP="00CF64DD">
      <w:pPr>
        <w:pStyle w:val="FootnoteText"/>
        <w:rPr>
          <w:sz w:val="16"/>
          <w:szCs w:val="16"/>
        </w:rPr>
      </w:pPr>
      <w:r w:rsidRPr="00B9150E">
        <w:rPr>
          <w:rStyle w:val="FootnoteReference"/>
          <w:sz w:val="16"/>
          <w:szCs w:val="16"/>
        </w:rPr>
        <w:footnoteRef/>
      </w:r>
      <w:r w:rsidRPr="00B9150E">
        <w:rPr>
          <w:sz w:val="16"/>
          <w:szCs w:val="16"/>
        </w:rPr>
        <w:t xml:space="preserve"> The process does not apply to Demand Response Auction Mechanism (DRAM) resources.</w:t>
      </w:r>
    </w:p>
  </w:footnote>
  <w:footnote w:id="4">
    <w:p w14:paraId="1A1324F8" w14:textId="77777777" w:rsidR="00CF64DD" w:rsidRPr="00B9150E" w:rsidRDefault="00CF64DD" w:rsidP="00CF64DD">
      <w:pPr>
        <w:pStyle w:val="FootnoteText"/>
        <w:rPr>
          <w:sz w:val="16"/>
          <w:szCs w:val="16"/>
        </w:rPr>
      </w:pPr>
      <w:r w:rsidRPr="00B9150E">
        <w:rPr>
          <w:rStyle w:val="FootnoteReference"/>
          <w:sz w:val="16"/>
          <w:szCs w:val="16"/>
        </w:rPr>
        <w:footnoteRef/>
      </w:r>
      <w:r>
        <w:rPr>
          <w:sz w:val="16"/>
          <w:szCs w:val="16"/>
        </w:rPr>
        <w:t xml:space="preserve"> D. 19-12-040 at 52.</w:t>
      </w:r>
    </w:p>
  </w:footnote>
  <w:footnote w:id="5">
    <w:p w14:paraId="6B7DF816" w14:textId="77777777" w:rsidR="00CF64DD" w:rsidRPr="00B9150E" w:rsidRDefault="00CF64DD" w:rsidP="00CF64DD">
      <w:pPr>
        <w:pStyle w:val="FootnoteText"/>
        <w:ind w:left="180" w:hanging="180"/>
        <w:rPr>
          <w:sz w:val="16"/>
          <w:szCs w:val="16"/>
        </w:rPr>
      </w:pPr>
      <w:r w:rsidRPr="00B9150E">
        <w:rPr>
          <w:rStyle w:val="FootnoteReference"/>
          <w:sz w:val="16"/>
          <w:szCs w:val="16"/>
        </w:rPr>
        <w:footnoteRef/>
      </w:r>
      <w:r w:rsidRPr="00B9150E">
        <w:rPr>
          <w:sz w:val="16"/>
          <w:szCs w:val="16"/>
        </w:rPr>
        <w:t xml:space="preserve"> Section 10.1.2 in Protocol and Section 10.3 in Protocol 27 </w:t>
      </w:r>
      <w:bookmarkStart w:id="7" w:name="_Hlk31636771"/>
      <w:r w:rsidRPr="00B9150E">
        <w:rPr>
          <w:sz w:val="16"/>
          <w:szCs w:val="16"/>
        </w:rPr>
        <w:t>of Load Impact Estimation for Demand Response: Protocols and Regulatory Guidance (April 2008) at 148, adopted in D. 08-04-050</w:t>
      </w:r>
      <w:bookmarkEnd w:id="7"/>
      <w:r w:rsidRPr="00B9150E">
        <w:rPr>
          <w:sz w:val="16"/>
          <w:szCs w:val="16"/>
        </w:rPr>
        <w:t xml:space="preserve">. </w:t>
      </w:r>
    </w:p>
  </w:footnote>
  <w:footnote w:id="6">
    <w:p w14:paraId="5AA35475" w14:textId="77777777" w:rsidR="00CF64DD" w:rsidRPr="00B9150E" w:rsidRDefault="00CF64DD" w:rsidP="00CF64DD">
      <w:pPr>
        <w:pStyle w:val="FootnoteText"/>
        <w:rPr>
          <w:sz w:val="16"/>
          <w:szCs w:val="16"/>
        </w:rPr>
      </w:pPr>
      <w:r w:rsidRPr="00744EEC">
        <w:rPr>
          <w:rStyle w:val="FootnoteReference"/>
          <w:sz w:val="16"/>
          <w:szCs w:val="16"/>
        </w:rPr>
        <w:footnoteRef/>
      </w:r>
      <w:r w:rsidRPr="00744EEC">
        <w:rPr>
          <w:sz w:val="16"/>
          <w:szCs w:val="16"/>
        </w:rPr>
        <w:t xml:space="preserve"> </w:t>
      </w:r>
      <w:hyperlink r:id="rId2" w:history="1">
        <w:r w:rsidRPr="00922334">
          <w:rPr>
            <w:rStyle w:val="Hyperlink"/>
            <w:sz w:val="16"/>
            <w:szCs w:val="16"/>
          </w:rPr>
          <w:t>D. 14-06-050</w:t>
        </w:r>
      </w:hyperlink>
      <w:r>
        <w:rPr>
          <w:sz w:val="16"/>
          <w:szCs w:val="16"/>
        </w:rPr>
        <w:t xml:space="preserve"> at 19, </w:t>
      </w:r>
      <w:hyperlink r:id="rId3" w:history="1">
        <w:r w:rsidRPr="00922334">
          <w:rPr>
            <w:rStyle w:val="Hyperlink"/>
            <w:sz w:val="16"/>
            <w:szCs w:val="16"/>
          </w:rPr>
          <w:t>D. 09-06-028</w:t>
        </w:r>
      </w:hyperlink>
      <w:r>
        <w:rPr>
          <w:sz w:val="16"/>
          <w:szCs w:val="16"/>
        </w:rPr>
        <w:t xml:space="preserve"> at 20, an</w:t>
      </w:r>
      <w:bookmarkStart w:id="9" w:name="_Hlk31900802"/>
      <w:r>
        <w:rPr>
          <w:sz w:val="16"/>
          <w:szCs w:val="16"/>
        </w:rPr>
        <w:t xml:space="preserve">d the </w:t>
      </w:r>
      <w:hyperlink r:id="rId4" w:history="1">
        <w:r w:rsidRPr="00744EEC">
          <w:rPr>
            <w:rStyle w:val="Hyperlink"/>
            <w:sz w:val="16"/>
            <w:szCs w:val="16"/>
          </w:rPr>
          <w:t>Qualifying Capacity Manual</w:t>
        </w:r>
      </w:hyperlink>
      <w:r>
        <w:rPr>
          <w:sz w:val="16"/>
          <w:szCs w:val="16"/>
        </w:rPr>
        <w:t xml:space="preserve"> at 16.</w:t>
      </w:r>
    </w:p>
    <w:bookmarkStart w:id="10" w:name="_GoBack"/>
    <w:bookmarkEnd w:id="9"/>
  </w:footnote>
  <w:footnote w:id="7">
    <w:p w14:paraId="4F8FF956" w14:textId="2EF5FBE7" w:rsidR="00D10B64" w:rsidRPr="00D10B64" w:rsidRDefault="00D10B64">
      <w:pPr>
        <w:pStyle w:val="FootnoteText"/>
        <w:rPr>
          <w:sz w:val="16"/>
          <w:szCs w:val="16"/>
        </w:rPr>
      </w:pPr>
      <w:bookmarkStart w:id="11" w:name="_GoBack"/>
      <w:r w:rsidRPr="00D10B64">
        <w:rPr>
          <w:rStyle w:val="FootnoteReference"/>
          <w:sz w:val="16"/>
          <w:szCs w:val="16"/>
        </w:rPr>
        <w:footnoteRef/>
      </w:r>
      <w:r w:rsidRPr="00D10B64">
        <w:rPr>
          <w:sz w:val="16"/>
          <w:szCs w:val="16"/>
        </w:rPr>
        <w:t xml:space="preserve"> The </w:t>
      </w:r>
      <w:r w:rsidRPr="00D10B64">
        <w:rPr>
          <w:sz w:val="16"/>
          <w:szCs w:val="16"/>
        </w:rPr>
        <w:t xml:space="preserve">schedule </w:t>
      </w:r>
      <w:r w:rsidRPr="00D10B64">
        <w:rPr>
          <w:sz w:val="16"/>
          <w:szCs w:val="16"/>
        </w:rPr>
        <w:t>in Table 1 reflects</w:t>
      </w:r>
      <w:r w:rsidRPr="00D10B64">
        <w:rPr>
          <w:sz w:val="16"/>
          <w:szCs w:val="16"/>
        </w:rPr>
        <w:t xml:space="preserve"> the revisions </w:t>
      </w:r>
      <w:r w:rsidRPr="00D10B64">
        <w:rPr>
          <w:sz w:val="16"/>
          <w:szCs w:val="16"/>
        </w:rPr>
        <w:t xml:space="preserve">approved </w:t>
      </w:r>
      <w:r w:rsidRPr="00D10B64">
        <w:rPr>
          <w:sz w:val="16"/>
          <w:szCs w:val="16"/>
        </w:rPr>
        <w:t>in items 1-3</w:t>
      </w:r>
      <w:r w:rsidRPr="00D10B64">
        <w:rPr>
          <w:sz w:val="16"/>
          <w:szCs w:val="16"/>
        </w:rPr>
        <w:t>.</w:t>
      </w:r>
      <w:bookmarkEnd w:id="11"/>
    </w:p>
  </w:footnote>
  <w:footnote w:id="8">
    <w:p w14:paraId="46EBFF12" w14:textId="77777777" w:rsidR="00CF64DD" w:rsidRPr="00EE4E12" w:rsidRDefault="00CF64DD" w:rsidP="00CF64DD">
      <w:pPr>
        <w:pStyle w:val="FootnoteText"/>
        <w:rPr>
          <w:sz w:val="16"/>
          <w:szCs w:val="16"/>
        </w:rPr>
      </w:pPr>
      <w:r w:rsidRPr="00EE4E12">
        <w:rPr>
          <w:rStyle w:val="FootnoteReference"/>
          <w:sz w:val="16"/>
          <w:szCs w:val="16"/>
        </w:rPr>
        <w:footnoteRef/>
      </w:r>
      <w:r w:rsidRPr="00EE4E12">
        <w:rPr>
          <w:sz w:val="16"/>
          <w:szCs w:val="16"/>
        </w:rPr>
        <w:t xml:space="preserve"> OP 4 at 35 in </w:t>
      </w:r>
      <w:hyperlink r:id="rId5" w:history="1">
        <w:r w:rsidRPr="007C26F6">
          <w:rPr>
            <w:rStyle w:val="Hyperlink"/>
            <w:sz w:val="16"/>
            <w:szCs w:val="16"/>
          </w:rPr>
          <w:t>D. 08-04-050</w:t>
        </w:r>
      </w:hyperlink>
      <w:r w:rsidRPr="00EE4E1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1DA2" w14:textId="77777777" w:rsidR="005515AE" w:rsidRDefault="00551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4C5B27" w:rsidRPr="003939E6" w14:paraId="1ECC7CC8" w14:textId="77777777" w:rsidTr="00874FCB">
      <w:trPr>
        <w:trHeight w:val="630"/>
      </w:trPr>
      <w:tc>
        <w:tcPr>
          <w:tcW w:w="4990" w:type="dxa"/>
        </w:tcPr>
        <w:p w14:paraId="069F6DF0" w14:textId="2218B03E" w:rsidR="004C5B27" w:rsidRPr="003939E6" w:rsidRDefault="005515AE" w:rsidP="003939E6">
          <w:pPr>
            <w:widowControl w:val="0"/>
            <w:spacing w:line="276" w:lineRule="auto"/>
            <w:rPr>
              <w:rFonts w:ascii="Helvetica" w:hAnsi="Helvetica"/>
              <w:sz w:val="16"/>
            </w:rPr>
          </w:pPr>
          <w:bookmarkStart w:id="13" w:name="_Hlk4504887"/>
          <w:r w:rsidRPr="003939E6">
            <w:rPr>
              <w:rFonts w:ascii="Helvetica" w:hAnsi="Helvetica"/>
              <w:sz w:val="16"/>
            </w:rPr>
            <w:t>STATE OF CALIFORNIA</w:t>
          </w:r>
        </w:p>
        <w:p w14:paraId="2D494337" w14:textId="69819CCA" w:rsidR="004C5B27" w:rsidRPr="003939E6" w:rsidRDefault="005515AE" w:rsidP="003939E6">
          <w:pPr>
            <w:widowControl w:val="0"/>
            <w:spacing w:line="276" w:lineRule="auto"/>
            <w:rPr>
              <w:rFonts w:ascii="Helvetica" w:hAnsi="Helvetica"/>
              <w:i/>
              <w:sz w:val="16"/>
            </w:rPr>
          </w:pPr>
          <w:r w:rsidRPr="003939E6">
            <w:rPr>
              <w:rFonts w:ascii="Helvetica" w:hAnsi="Helvetica"/>
              <w:sz w:val="16"/>
            </w:rPr>
            <w:t xml:space="preserve">PUBLIC UTILITIES COMISSION </w:t>
          </w:r>
          <w:r w:rsidRPr="003939E6">
            <w:rPr>
              <w:rFonts w:ascii="Helvetica" w:hAnsi="Helvetica"/>
              <w:i/>
              <w:sz w:val="16"/>
            </w:rPr>
            <w:t xml:space="preserve"> </w:t>
          </w:r>
        </w:p>
        <w:p w14:paraId="6EA46334" w14:textId="77777777" w:rsidR="004C5B27" w:rsidRPr="003939E6" w:rsidRDefault="004C5B27" w:rsidP="003939E6">
          <w:pPr>
            <w:widowControl w:val="0"/>
            <w:tabs>
              <w:tab w:val="right" w:pos="4774"/>
            </w:tabs>
            <w:spacing w:line="276" w:lineRule="auto"/>
            <w:rPr>
              <w:rFonts w:ascii="Helvetica" w:hAnsi="Helvetica"/>
              <w:sz w:val="16"/>
            </w:rPr>
          </w:pPr>
          <w:r w:rsidRPr="003939E6">
            <w:rPr>
              <w:rFonts w:ascii="Helvetica" w:hAnsi="Helvetica"/>
              <w:i/>
              <w:sz w:val="16"/>
            </w:rPr>
            <w:t>ENERGY DIVISION</w:t>
          </w:r>
          <w:r w:rsidRPr="003939E6">
            <w:rPr>
              <w:rFonts w:ascii="Helvetica" w:hAnsi="Helvetica"/>
              <w:i/>
              <w:sz w:val="16"/>
            </w:rPr>
            <w:tab/>
          </w:r>
        </w:p>
      </w:tc>
      <w:sdt>
        <w:sdtPr>
          <w:rPr>
            <w:rFonts w:asciiTheme="minorHAnsi" w:hAnsiTheme="minorHAnsi" w:cstheme="minorHAnsi"/>
            <w:sz w:val="22"/>
          </w:rPr>
          <w:id w:val="909353937"/>
          <w:placeholder>
            <w:docPart w:val="DC8338E4E46A4C6CA36CDC02166F17AE"/>
          </w:placeholder>
        </w:sdtPr>
        <w:sdtEndPr/>
        <w:sdtContent>
          <w:tc>
            <w:tcPr>
              <w:tcW w:w="4990" w:type="dxa"/>
              <w:vAlign w:val="bottom"/>
            </w:tcPr>
            <w:p w14:paraId="337EB402" w14:textId="3F031BF0" w:rsidR="004C5B27" w:rsidRPr="00C44C8C" w:rsidRDefault="005515AE" w:rsidP="003939E6">
              <w:pPr>
                <w:tabs>
                  <w:tab w:val="center" w:pos="4680"/>
                  <w:tab w:val="right" w:pos="9360"/>
                </w:tabs>
                <w:jc w:val="right"/>
                <w:rPr>
                  <w:rFonts w:asciiTheme="minorHAnsi" w:hAnsiTheme="minorHAnsi" w:cstheme="minorHAnsi"/>
                </w:rPr>
              </w:pPr>
              <w:r>
                <w:rPr>
                  <w:rFonts w:asciiTheme="minorHAnsi" w:hAnsiTheme="minorHAnsi" w:cstheme="minorHAnsi"/>
                  <w:sz w:val="22"/>
                </w:rPr>
                <w:t>LIP Guidance for IRP</w:t>
              </w:r>
              <w:r w:rsidR="004C5B27" w:rsidRPr="00C44C8C">
                <w:rPr>
                  <w:rFonts w:asciiTheme="minorHAnsi" w:hAnsiTheme="minorHAnsi" w:cstheme="minorHAnsi"/>
                  <w:sz w:val="22"/>
                </w:rPr>
                <w:t xml:space="preserve"> </w:t>
              </w:r>
            </w:p>
          </w:tc>
        </w:sdtContent>
      </w:sdt>
    </w:tr>
    <w:bookmarkEnd w:id="13"/>
  </w:tbl>
  <w:p w14:paraId="33B2E1BD" w14:textId="4DD589E8" w:rsidR="004C5B27" w:rsidRPr="00C44C8C" w:rsidRDefault="004C5B27">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93E61" w14:textId="77777777" w:rsidR="005515AE" w:rsidRDefault="00551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67BD1"/>
    <w:multiLevelType w:val="hybridMultilevel"/>
    <w:tmpl w:val="B038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70A20"/>
    <w:multiLevelType w:val="hybridMultilevel"/>
    <w:tmpl w:val="38267C78"/>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510538A"/>
    <w:multiLevelType w:val="hybridMultilevel"/>
    <w:tmpl w:val="478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570CD"/>
    <w:multiLevelType w:val="hybridMultilevel"/>
    <w:tmpl w:val="6936A282"/>
    <w:lvl w:ilvl="0" w:tplc="43463966">
      <w:start w:val="7"/>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678B4"/>
    <w:multiLevelType w:val="hybridMultilevel"/>
    <w:tmpl w:val="957C4EA8"/>
    <w:lvl w:ilvl="0" w:tplc="0409000F">
      <w:start w:val="1"/>
      <w:numFmt w:val="decimal"/>
      <w:lvlText w:val="%1."/>
      <w:lvlJc w:val="left"/>
      <w:pPr>
        <w:ind w:left="1260" w:hanging="360"/>
      </w:pPr>
    </w:lvl>
    <w:lvl w:ilvl="1" w:tplc="ECAE78A2">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72F18D7"/>
    <w:multiLevelType w:val="hybridMultilevel"/>
    <w:tmpl w:val="C0F4F09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FF23047"/>
    <w:multiLevelType w:val="hybridMultilevel"/>
    <w:tmpl w:val="A9DAB2EA"/>
    <w:lvl w:ilvl="0" w:tplc="7AB87068">
      <w:start w:val="7"/>
      <w:numFmt w:val="decimal"/>
      <w:lvlText w:val="%1."/>
      <w:lvlJc w:val="left"/>
      <w:pPr>
        <w:ind w:left="1260" w:hanging="360"/>
      </w:pPr>
      <w:rPr>
        <w:rFonts w:hint="default"/>
      </w:r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8806651"/>
    <w:multiLevelType w:val="multilevel"/>
    <w:tmpl w:val="F6E2E9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65885EB7"/>
    <w:multiLevelType w:val="hybridMultilevel"/>
    <w:tmpl w:val="AC5AA094"/>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96D"/>
    <w:rsid w:val="00033ED9"/>
    <w:rsid w:val="00037360"/>
    <w:rsid w:val="00053920"/>
    <w:rsid w:val="000D6619"/>
    <w:rsid w:val="0012022F"/>
    <w:rsid w:val="0017660A"/>
    <w:rsid w:val="001857CA"/>
    <w:rsid w:val="001A56B7"/>
    <w:rsid w:val="001A6048"/>
    <w:rsid w:val="001F4544"/>
    <w:rsid w:val="0023106C"/>
    <w:rsid w:val="002319CC"/>
    <w:rsid w:val="00241357"/>
    <w:rsid w:val="00362158"/>
    <w:rsid w:val="003939E6"/>
    <w:rsid w:val="003B11DE"/>
    <w:rsid w:val="003B2423"/>
    <w:rsid w:val="003C42A0"/>
    <w:rsid w:val="003E56BC"/>
    <w:rsid w:val="003E6D23"/>
    <w:rsid w:val="0040436F"/>
    <w:rsid w:val="004128A7"/>
    <w:rsid w:val="00457D4C"/>
    <w:rsid w:val="004834A6"/>
    <w:rsid w:val="004B227C"/>
    <w:rsid w:val="004C5B27"/>
    <w:rsid w:val="004D6F02"/>
    <w:rsid w:val="004E1973"/>
    <w:rsid w:val="004E32C3"/>
    <w:rsid w:val="004F7785"/>
    <w:rsid w:val="005117AE"/>
    <w:rsid w:val="005218DA"/>
    <w:rsid w:val="00526A62"/>
    <w:rsid w:val="00544EF0"/>
    <w:rsid w:val="005515AE"/>
    <w:rsid w:val="005C596D"/>
    <w:rsid w:val="005E71ED"/>
    <w:rsid w:val="00604A73"/>
    <w:rsid w:val="0068109C"/>
    <w:rsid w:val="00714E31"/>
    <w:rsid w:val="00751230"/>
    <w:rsid w:val="007E5CD5"/>
    <w:rsid w:val="007F4C96"/>
    <w:rsid w:val="0080021B"/>
    <w:rsid w:val="00831FCC"/>
    <w:rsid w:val="00833147"/>
    <w:rsid w:val="008555C7"/>
    <w:rsid w:val="00874FCB"/>
    <w:rsid w:val="008804FC"/>
    <w:rsid w:val="00894D50"/>
    <w:rsid w:val="008F060E"/>
    <w:rsid w:val="00913C7B"/>
    <w:rsid w:val="00920680"/>
    <w:rsid w:val="00925821"/>
    <w:rsid w:val="00987D6A"/>
    <w:rsid w:val="009A45F8"/>
    <w:rsid w:val="009D465F"/>
    <w:rsid w:val="009E5DCC"/>
    <w:rsid w:val="00A00FEC"/>
    <w:rsid w:val="00A2352F"/>
    <w:rsid w:val="00A27FA2"/>
    <w:rsid w:val="00A82A2D"/>
    <w:rsid w:val="00AF48DF"/>
    <w:rsid w:val="00B13AB4"/>
    <w:rsid w:val="00B439CB"/>
    <w:rsid w:val="00B52538"/>
    <w:rsid w:val="00B620D4"/>
    <w:rsid w:val="00B63BDD"/>
    <w:rsid w:val="00B656B2"/>
    <w:rsid w:val="00B722EF"/>
    <w:rsid w:val="00BC346E"/>
    <w:rsid w:val="00BD1BA0"/>
    <w:rsid w:val="00BD2C7A"/>
    <w:rsid w:val="00C3230B"/>
    <w:rsid w:val="00C44C8C"/>
    <w:rsid w:val="00C66B22"/>
    <w:rsid w:val="00CC4D69"/>
    <w:rsid w:val="00CF64DD"/>
    <w:rsid w:val="00D10B64"/>
    <w:rsid w:val="00D662AF"/>
    <w:rsid w:val="00D83026"/>
    <w:rsid w:val="00D97160"/>
    <w:rsid w:val="00DA7990"/>
    <w:rsid w:val="00E11668"/>
    <w:rsid w:val="00E275CB"/>
    <w:rsid w:val="00F162E5"/>
    <w:rsid w:val="00F720BD"/>
    <w:rsid w:val="00F821F1"/>
    <w:rsid w:val="00FD057D"/>
    <w:rsid w:val="24B0E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AA1F82"/>
  <w15:chartTrackingRefBased/>
  <w15:docId w15:val="{A5AE3B67-4E37-4ED4-83BB-77C75935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6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96D"/>
    <w:pPr>
      <w:ind w:left="720"/>
      <w:contextualSpacing/>
    </w:pPr>
  </w:style>
  <w:style w:type="paragraph" w:styleId="BalloonText">
    <w:name w:val="Balloon Text"/>
    <w:basedOn w:val="Normal"/>
    <w:link w:val="BalloonTextChar"/>
    <w:uiPriority w:val="99"/>
    <w:semiHidden/>
    <w:unhideWhenUsed/>
    <w:rsid w:val="005C5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9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C596D"/>
    <w:rPr>
      <w:sz w:val="16"/>
      <w:szCs w:val="16"/>
    </w:rPr>
  </w:style>
  <w:style w:type="paragraph" w:styleId="CommentText">
    <w:name w:val="annotation text"/>
    <w:basedOn w:val="Normal"/>
    <w:link w:val="CommentTextChar"/>
    <w:uiPriority w:val="99"/>
    <w:semiHidden/>
    <w:unhideWhenUsed/>
    <w:rsid w:val="005C596D"/>
    <w:pPr>
      <w:overflowPunct/>
      <w:autoSpaceDE/>
      <w:autoSpaceDN/>
      <w:adjustRightInd/>
      <w:spacing w:after="16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C596D"/>
    <w:rPr>
      <w:sz w:val="20"/>
      <w:szCs w:val="20"/>
    </w:rPr>
  </w:style>
  <w:style w:type="paragraph" w:styleId="CommentSubject">
    <w:name w:val="annotation subject"/>
    <w:basedOn w:val="CommentText"/>
    <w:next w:val="CommentText"/>
    <w:link w:val="CommentSubjectChar"/>
    <w:uiPriority w:val="99"/>
    <w:semiHidden/>
    <w:unhideWhenUsed/>
    <w:rsid w:val="00241357"/>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41357"/>
    <w:rPr>
      <w:rFonts w:ascii="Times New Roman" w:eastAsia="Times New Roman" w:hAnsi="Times New Roman" w:cs="Times New Roman"/>
      <w:b/>
      <w:bCs/>
      <w:sz w:val="20"/>
      <w:szCs w:val="20"/>
    </w:rPr>
  </w:style>
  <w:style w:type="paragraph" w:styleId="Revision">
    <w:name w:val="Revision"/>
    <w:hidden/>
    <w:uiPriority w:val="99"/>
    <w:semiHidden/>
    <w:rsid w:val="00B722EF"/>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83026"/>
    <w:pPr>
      <w:tabs>
        <w:tab w:val="center" w:pos="4680"/>
        <w:tab w:val="right" w:pos="9360"/>
      </w:tabs>
    </w:pPr>
  </w:style>
  <w:style w:type="character" w:customStyle="1" w:styleId="HeaderChar">
    <w:name w:val="Header Char"/>
    <w:basedOn w:val="DefaultParagraphFont"/>
    <w:link w:val="Header"/>
    <w:uiPriority w:val="99"/>
    <w:rsid w:val="00D830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83026"/>
    <w:pPr>
      <w:tabs>
        <w:tab w:val="center" w:pos="4680"/>
        <w:tab w:val="right" w:pos="9360"/>
      </w:tabs>
    </w:pPr>
  </w:style>
  <w:style w:type="character" w:customStyle="1" w:styleId="FooterChar">
    <w:name w:val="Footer Char"/>
    <w:basedOn w:val="DefaultParagraphFont"/>
    <w:link w:val="Footer"/>
    <w:uiPriority w:val="99"/>
    <w:rsid w:val="00D83026"/>
    <w:rPr>
      <w:rFonts w:ascii="Times New Roman" w:eastAsia="Times New Roman" w:hAnsi="Times New Roman" w:cs="Times New Roman"/>
      <w:sz w:val="24"/>
      <w:szCs w:val="20"/>
    </w:rPr>
  </w:style>
  <w:style w:type="paragraph" w:customStyle="1" w:styleId="xmsonormal">
    <w:name w:val="x_msonormal"/>
    <w:basedOn w:val="Normal"/>
    <w:rsid w:val="00874FCB"/>
    <w:pPr>
      <w:overflowPunct/>
      <w:autoSpaceDE/>
      <w:autoSpaceDN/>
      <w:adjustRightInd/>
      <w:spacing w:before="100" w:beforeAutospacing="1" w:after="100" w:afterAutospacing="1"/>
      <w:textAlignment w:val="auto"/>
    </w:pPr>
    <w:rPr>
      <w:szCs w:val="24"/>
    </w:rPr>
  </w:style>
  <w:style w:type="paragraph" w:styleId="FootnoteText">
    <w:name w:val="footnote text"/>
    <w:basedOn w:val="Normal"/>
    <w:link w:val="FootnoteTextChar"/>
    <w:semiHidden/>
    <w:unhideWhenUsed/>
    <w:rsid w:val="00DA7990"/>
    <w:rPr>
      <w:sz w:val="20"/>
    </w:rPr>
  </w:style>
  <w:style w:type="character" w:customStyle="1" w:styleId="FootnoteTextChar">
    <w:name w:val="Footnote Text Char"/>
    <w:basedOn w:val="DefaultParagraphFont"/>
    <w:link w:val="FootnoteText"/>
    <w:uiPriority w:val="99"/>
    <w:semiHidden/>
    <w:rsid w:val="00DA799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A7990"/>
    <w:rPr>
      <w:vertAlign w:val="superscript"/>
    </w:rPr>
  </w:style>
  <w:style w:type="character" w:styleId="Hyperlink">
    <w:name w:val="Hyperlink"/>
    <w:basedOn w:val="DefaultParagraphFont"/>
    <w:uiPriority w:val="99"/>
    <w:unhideWhenUsed/>
    <w:rsid w:val="00DA7990"/>
    <w:rPr>
      <w:color w:val="0563C1" w:themeColor="hyperlink"/>
      <w:u w:val="single"/>
    </w:rPr>
  </w:style>
  <w:style w:type="paragraph" w:styleId="NormalWeb">
    <w:name w:val="Normal (Web)"/>
    <w:basedOn w:val="Normal"/>
    <w:uiPriority w:val="99"/>
    <w:unhideWhenUsed/>
    <w:rsid w:val="00C66B22"/>
    <w:pPr>
      <w:overflowPunct/>
      <w:autoSpaceDE/>
      <w:autoSpaceDN/>
      <w:adjustRightInd/>
      <w:spacing w:before="100" w:beforeAutospacing="1" w:after="100" w:afterAutospacing="1"/>
      <w:textAlignment w:val="auto"/>
    </w:pPr>
    <w:rPr>
      <w:szCs w:val="24"/>
    </w:rPr>
  </w:style>
  <w:style w:type="paragraph" w:customStyle="1" w:styleId="Default">
    <w:name w:val="Default"/>
    <w:rsid w:val="005117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40764">
      <w:bodyDiv w:val="1"/>
      <w:marLeft w:val="0"/>
      <w:marRight w:val="0"/>
      <w:marTop w:val="0"/>
      <w:marBottom w:val="0"/>
      <w:divBdr>
        <w:top w:val="none" w:sz="0" w:space="0" w:color="auto"/>
        <w:left w:val="none" w:sz="0" w:space="0" w:color="auto"/>
        <w:bottom w:val="none" w:sz="0" w:space="0" w:color="auto"/>
        <w:right w:val="none" w:sz="0" w:space="0" w:color="auto"/>
      </w:divBdr>
    </w:div>
    <w:div w:id="402917024">
      <w:bodyDiv w:val="1"/>
      <w:marLeft w:val="0"/>
      <w:marRight w:val="0"/>
      <w:marTop w:val="0"/>
      <w:marBottom w:val="0"/>
      <w:divBdr>
        <w:top w:val="none" w:sz="0" w:space="0" w:color="auto"/>
        <w:left w:val="none" w:sz="0" w:space="0" w:color="auto"/>
        <w:bottom w:val="none" w:sz="0" w:space="0" w:color="auto"/>
        <w:right w:val="none" w:sz="0" w:space="0" w:color="auto"/>
      </w:divBdr>
    </w:div>
    <w:div w:id="1272250590">
      <w:bodyDiv w:val="1"/>
      <w:marLeft w:val="0"/>
      <w:marRight w:val="0"/>
      <w:marTop w:val="0"/>
      <w:marBottom w:val="0"/>
      <w:divBdr>
        <w:top w:val="none" w:sz="0" w:space="0" w:color="auto"/>
        <w:left w:val="none" w:sz="0" w:space="0" w:color="auto"/>
        <w:bottom w:val="none" w:sz="0" w:space="0" w:color="auto"/>
        <w:right w:val="none" w:sz="0" w:space="0" w:color="auto"/>
      </w:divBdr>
    </w:div>
    <w:div w:id="1406338469">
      <w:bodyDiv w:val="1"/>
      <w:marLeft w:val="0"/>
      <w:marRight w:val="0"/>
      <w:marTop w:val="0"/>
      <w:marBottom w:val="0"/>
      <w:divBdr>
        <w:top w:val="none" w:sz="0" w:space="0" w:color="auto"/>
        <w:left w:val="none" w:sz="0" w:space="0" w:color="auto"/>
        <w:bottom w:val="none" w:sz="0" w:space="0" w:color="auto"/>
        <w:right w:val="none" w:sz="0" w:space="0" w:color="auto"/>
      </w:divBdr>
      <w:divsChild>
        <w:div w:id="2135250849">
          <w:marLeft w:val="0"/>
          <w:marRight w:val="0"/>
          <w:marTop w:val="0"/>
          <w:marBottom w:val="0"/>
          <w:divBdr>
            <w:top w:val="none" w:sz="0" w:space="0" w:color="auto"/>
            <w:left w:val="none" w:sz="0" w:space="0" w:color="auto"/>
            <w:bottom w:val="none" w:sz="0" w:space="0" w:color="auto"/>
            <w:right w:val="none" w:sz="0" w:space="0" w:color="auto"/>
          </w:divBdr>
          <w:divsChild>
            <w:div w:id="1984657299">
              <w:marLeft w:val="0"/>
              <w:marRight w:val="0"/>
              <w:marTop w:val="0"/>
              <w:marBottom w:val="0"/>
              <w:divBdr>
                <w:top w:val="none" w:sz="0" w:space="0" w:color="auto"/>
                <w:left w:val="none" w:sz="0" w:space="0" w:color="auto"/>
                <w:bottom w:val="none" w:sz="0" w:space="0" w:color="auto"/>
                <w:right w:val="none" w:sz="0" w:space="0" w:color="auto"/>
              </w:divBdr>
              <w:divsChild>
                <w:div w:id="592010593">
                  <w:marLeft w:val="0"/>
                  <w:marRight w:val="0"/>
                  <w:marTop w:val="0"/>
                  <w:marBottom w:val="0"/>
                  <w:divBdr>
                    <w:top w:val="none" w:sz="0" w:space="0" w:color="auto"/>
                    <w:left w:val="none" w:sz="0" w:space="0" w:color="auto"/>
                    <w:bottom w:val="none" w:sz="0" w:space="0" w:color="auto"/>
                    <w:right w:val="none" w:sz="0" w:space="0" w:color="auto"/>
                  </w:divBdr>
                  <w:divsChild>
                    <w:div w:id="910963510">
                      <w:marLeft w:val="0"/>
                      <w:marRight w:val="0"/>
                      <w:marTop w:val="0"/>
                      <w:marBottom w:val="0"/>
                      <w:divBdr>
                        <w:top w:val="none" w:sz="0" w:space="0" w:color="auto"/>
                        <w:left w:val="none" w:sz="0" w:space="0" w:color="auto"/>
                        <w:bottom w:val="none" w:sz="0" w:space="0" w:color="auto"/>
                        <w:right w:val="none" w:sz="0" w:space="0" w:color="auto"/>
                      </w:divBdr>
                      <w:divsChild>
                        <w:div w:id="802694141">
                          <w:marLeft w:val="0"/>
                          <w:marRight w:val="0"/>
                          <w:marTop w:val="0"/>
                          <w:marBottom w:val="0"/>
                          <w:divBdr>
                            <w:top w:val="none" w:sz="0" w:space="0" w:color="auto"/>
                            <w:left w:val="none" w:sz="0" w:space="0" w:color="auto"/>
                            <w:bottom w:val="none" w:sz="0" w:space="0" w:color="auto"/>
                            <w:right w:val="none" w:sz="0" w:space="0" w:color="auto"/>
                          </w:divBdr>
                          <w:divsChild>
                            <w:div w:id="738479688">
                              <w:marLeft w:val="0"/>
                              <w:marRight w:val="0"/>
                              <w:marTop w:val="0"/>
                              <w:marBottom w:val="0"/>
                              <w:divBdr>
                                <w:top w:val="none" w:sz="0" w:space="0" w:color="auto"/>
                                <w:left w:val="none" w:sz="0" w:space="0" w:color="auto"/>
                                <w:bottom w:val="none" w:sz="0" w:space="0" w:color="auto"/>
                                <w:right w:val="none" w:sz="0" w:space="0" w:color="auto"/>
                              </w:divBdr>
                              <w:divsChild>
                                <w:div w:id="239021143">
                                  <w:marLeft w:val="0"/>
                                  <w:marRight w:val="0"/>
                                  <w:marTop w:val="0"/>
                                  <w:marBottom w:val="0"/>
                                  <w:divBdr>
                                    <w:top w:val="none" w:sz="0" w:space="0" w:color="auto"/>
                                    <w:left w:val="none" w:sz="0" w:space="0" w:color="auto"/>
                                    <w:bottom w:val="none" w:sz="0" w:space="0" w:color="auto"/>
                                    <w:right w:val="none" w:sz="0" w:space="0" w:color="auto"/>
                                  </w:divBdr>
                                  <w:divsChild>
                                    <w:div w:id="625430714">
                                      <w:marLeft w:val="0"/>
                                      <w:marRight w:val="0"/>
                                      <w:marTop w:val="0"/>
                                      <w:marBottom w:val="0"/>
                                      <w:divBdr>
                                        <w:top w:val="none" w:sz="0" w:space="0" w:color="auto"/>
                                        <w:left w:val="none" w:sz="0" w:space="0" w:color="auto"/>
                                        <w:bottom w:val="none" w:sz="0" w:space="0" w:color="auto"/>
                                        <w:right w:val="none" w:sz="0" w:space="0" w:color="auto"/>
                                      </w:divBdr>
                                      <w:divsChild>
                                        <w:div w:id="1432504526">
                                          <w:marLeft w:val="0"/>
                                          <w:marRight w:val="0"/>
                                          <w:marTop w:val="0"/>
                                          <w:marBottom w:val="0"/>
                                          <w:divBdr>
                                            <w:top w:val="none" w:sz="0" w:space="0" w:color="auto"/>
                                            <w:left w:val="none" w:sz="0" w:space="0" w:color="auto"/>
                                            <w:bottom w:val="none" w:sz="0" w:space="0" w:color="auto"/>
                                            <w:right w:val="none" w:sz="0" w:space="0" w:color="auto"/>
                                          </w:divBdr>
                                          <w:divsChild>
                                            <w:div w:id="210726528">
                                              <w:marLeft w:val="0"/>
                                              <w:marRight w:val="0"/>
                                              <w:marTop w:val="0"/>
                                              <w:marBottom w:val="0"/>
                                              <w:divBdr>
                                                <w:top w:val="none" w:sz="0" w:space="0" w:color="auto"/>
                                                <w:left w:val="none" w:sz="0" w:space="0" w:color="auto"/>
                                                <w:bottom w:val="none" w:sz="0" w:space="0" w:color="auto"/>
                                                <w:right w:val="none" w:sz="0" w:space="0" w:color="auto"/>
                                              </w:divBdr>
                                              <w:divsChild>
                                                <w:div w:id="938834062">
                                                  <w:marLeft w:val="0"/>
                                                  <w:marRight w:val="0"/>
                                                  <w:marTop w:val="0"/>
                                                  <w:marBottom w:val="0"/>
                                                  <w:divBdr>
                                                    <w:top w:val="none" w:sz="0" w:space="0" w:color="auto"/>
                                                    <w:left w:val="none" w:sz="0" w:space="0" w:color="auto"/>
                                                    <w:bottom w:val="none" w:sz="0" w:space="0" w:color="auto"/>
                                                    <w:right w:val="none" w:sz="0" w:space="0" w:color="auto"/>
                                                  </w:divBdr>
                                                  <w:divsChild>
                                                    <w:div w:id="2034451679">
                                                      <w:marLeft w:val="0"/>
                                                      <w:marRight w:val="0"/>
                                                      <w:marTop w:val="0"/>
                                                      <w:marBottom w:val="0"/>
                                                      <w:divBdr>
                                                        <w:top w:val="none" w:sz="0" w:space="0" w:color="auto"/>
                                                        <w:left w:val="none" w:sz="0" w:space="0" w:color="auto"/>
                                                        <w:bottom w:val="none" w:sz="0" w:space="0" w:color="auto"/>
                                                        <w:right w:val="none" w:sz="0" w:space="0" w:color="auto"/>
                                                      </w:divBdr>
                                                      <w:divsChild>
                                                        <w:div w:id="425812855">
                                                          <w:marLeft w:val="0"/>
                                                          <w:marRight w:val="0"/>
                                                          <w:marTop w:val="0"/>
                                                          <w:marBottom w:val="0"/>
                                                          <w:divBdr>
                                                            <w:top w:val="none" w:sz="0" w:space="0" w:color="auto"/>
                                                            <w:left w:val="none" w:sz="0" w:space="0" w:color="auto"/>
                                                            <w:bottom w:val="none" w:sz="0" w:space="0" w:color="auto"/>
                                                            <w:right w:val="none" w:sz="0" w:space="0" w:color="auto"/>
                                                          </w:divBdr>
                                                          <w:divsChild>
                                                            <w:div w:id="627660980">
                                                              <w:marLeft w:val="0"/>
                                                              <w:marRight w:val="0"/>
                                                              <w:marTop w:val="0"/>
                                                              <w:marBottom w:val="0"/>
                                                              <w:divBdr>
                                                                <w:top w:val="none" w:sz="0" w:space="0" w:color="auto"/>
                                                                <w:left w:val="none" w:sz="0" w:space="0" w:color="auto"/>
                                                                <w:bottom w:val="none" w:sz="0" w:space="0" w:color="auto"/>
                                                                <w:right w:val="none" w:sz="0" w:space="0" w:color="auto"/>
                                                              </w:divBdr>
                                                              <w:divsChild>
                                                                <w:div w:id="1685208076">
                                                                  <w:marLeft w:val="0"/>
                                                                  <w:marRight w:val="0"/>
                                                                  <w:marTop w:val="0"/>
                                                                  <w:marBottom w:val="0"/>
                                                                  <w:divBdr>
                                                                    <w:top w:val="none" w:sz="0" w:space="0" w:color="auto"/>
                                                                    <w:left w:val="none" w:sz="0" w:space="0" w:color="auto"/>
                                                                    <w:bottom w:val="none" w:sz="0" w:space="0" w:color="auto"/>
                                                                    <w:right w:val="none" w:sz="0" w:space="0" w:color="auto"/>
                                                                  </w:divBdr>
                                                                  <w:divsChild>
                                                                    <w:div w:id="659699235">
                                                                      <w:marLeft w:val="0"/>
                                                                      <w:marRight w:val="0"/>
                                                                      <w:marTop w:val="0"/>
                                                                      <w:marBottom w:val="0"/>
                                                                      <w:divBdr>
                                                                        <w:top w:val="none" w:sz="0" w:space="0" w:color="auto"/>
                                                                        <w:left w:val="none" w:sz="0" w:space="0" w:color="auto"/>
                                                                        <w:bottom w:val="none" w:sz="0" w:space="0" w:color="auto"/>
                                                                        <w:right w:val="none" w:sz="0" w:space="0" w:color="auto"/>
                                                                      </w:divBdr>
                                                                      <w:divsChild>
                                                                        <w:div w:id="2140025560">
                                                                          <w:marLeft w:val="0"/>
                                                                          <w:marRight w:val="0"/>
                                                                          <w:marTop w:val="0"/>
                                                                          <w:marBottom w:val="0"/>
                                                                          <w:divBdr>
                                                                            <w:top w:val="none" w:sz="0" w:space="0" w:color="auto"/>
                                                                            <w:left w:val="none" w:sz="0" w:space="0" w:color="auto"/>
                                                                            <w:bottom w:val="none" w:sz="0" w:space="0" w:color="auto"/>
                                                                            <w:right w:val="none" w:sz="0" w:space="0" w:color="auto"/>
                                                                          </w:divBdr>
                                                                          <w:divsChild>
                                                                            <w:div w:id="954217289">
                                                                              <w:marLeft w:val="0"/>
                                                                              <w:marRight w:val="0"/>
                                                                              <w:marTop w:val="0"/>
                                                                              <w:marBottom w:val="0"/>
                                                                              <w:divBdr>
                                                                                <w:top w:val="none" w:sz="0" w:space="0" w:color="auto"/>
                                                                                <w:left w:val="none" w:sz="0" w:space="0" w:color="auto"/>
                                                                                <w:bottom w:val="none" w:sz="0" w:space="0" w:color="auto"/>
                                                                                <w:right w:val="none" w:sz="0" w:space="0" w:color="auto"/>
                                                                              </w:divBdr>
                                                                              <w:divsChild>
                                                                                <w:div w:id="1081218134">
                                                                                  <w:marLeft w:val="0"/>
                                                                                  <w:marRight w:val="0"/>
                                                                                  <w:marTop w:val="0"/>
                                                                                  <w:marBottom w:val="0"/>
                                                                                  <w:divBdr>
                                                                                    <w:top w:val="none" w:sz="0" w:space="0" w:color="auto"/>
                                                                                    <w:left w:val="none" w:sz="0" w:space="0" w:color="auto"/>
                                                                                    <w:bottom w:val="none" w:sz="0" w:space="0" w:color="auto"/>
                                                                                    <w:right w:val="none" w:sz="0" w:space="0" w:color="auto"/>
                                                                                  </w:divBdr>
                                                                                  <w:divsChild>
                                                                                    <w:div w:id="1432701148">
                                                                                      <w:marLeft w:val="0"/>
                                                                                      <w:marRight w:val="0"/>
                                                                                      <w:marTop w:val="0"/>
                                                                                      <w:marBottom w:val="0"/>
                                                                                      <w:divBdr>
                                                                                        <w:top w:val="none" w:sz="0" w:space="0" w:color="auto"/>
                                                                                        <w:left w:val="none" w:sz="0" w:space="0" w:color="auto"/>
                                                                                        <w:bottom w:val="none" w:sz="0" w:space="0" w:color="auto"/>
                                                                                        <w:right w:val="none" w:sz="0" w:space="0" w:color="auto"/>
                                                                                      </w:divBdr>
                                                                                      <w:divsChild>
                                                                                        <w:div w:id="545601732">
                                                                                          <w:marLeft w:val="0"/>
                                                                                          <w:marRight w:val="0"/>
                                                                                          <w:marTop w:val="0"/>
                                                                                          <w:marBottom w:val="0"/>
                                                                                          <w:divBdr>
                                                                                            <w:top w:val="none" w:sz="0" w:space="0" w:color="auto"/>
                                                                                            <w:left w:val="none" w:sz="0" w:space="0" w:color="auto"/>
                                                                                            <w:bottom w:val="none" w:sz="0" w:space="0" w:color="auto"/>
                                                                                            <w:right w:val="none" w:sz="0" w:space="0" w:color="auto"/>
                                                                                          </w:divBdr>
                                                                                          <w:divsChild>
                                                                                            <w:div w:id="592933483">
                                                                                              <w:marLeft w:val="0"/>
                                                                                              <w:marRight w:val="0"/>
                                                                                              <w:marTop w:val="0"/>
                                                                                              <w:marBottom w:val="0"/>
                                                                                              <w:divBdr>
                                                                                                <w:top w:val="none" w:sz="0" w:space="0" w:color="auto"/>
                                                                                                <w:left w:val="none" w:sz="0" w:space="0" w:color="auto"/>
                                                                                                <w:bottom w:val="none" w:sz="0" w:space="0" w:color="auto"/>
                                                                                                <w:right w:val="none" w:sz="0" w:space="0" w:color="auto"/>
                                                                                              </w:divBdr>
                                                                                              <w:divsChild>
                                                                                                <w:div w:id="1539276022">
                                                                                                  <w:marLeft w:val="0"/>
                                                                                                  <w:marRight w:val="0"/>
                                                                                                  <w:marTop w:val="0"/>
                                                                                                  <w:marBottom w:val="0"/>
                                                                                                  <w:divBdr>
                                                                                                    <w:top w:val="none" w:sz="0" w:space="0" w:color="auto"/>
                                                                                                    <w:left w:val="none" w:sz="0" w:space="0" w:color="auto"/>
                                                                                                    <w:bottom w:val="none" w:sz="0" w:space="0" w:color="auto"/>
                                                                                                    <w:right w:val="none" w:sz="0" w:space="0" w:color="auto"/>
                                                                                                  </w:divBdr>
                                                                                                  <w:divsChild>
                                                                                                    <w:div w:id="190536059">
                                                                                                      <w:marLeft w:val="0"/>
                                                                                                      <w:marRight w:val="0"/>
                                                                                                      <w:marTop w:val="0"/>
                                                                                                      <w:marBottom w:val="0"/>
                                                                                                      <w:divBdr>
                                                                                                        <w:top w:val="none" w:sz="0" w:space="0" w:color="auto"/>
                                                                                                        <w:left w:val="none" w:sz="0" w:space="0" w:color="auto"/>
                                                                                                        <w:bottom w:val="none" w:sz="0" w:space="0" w:color="auto"/>
                                                                                                        <w:right w:val="none" w:sz="0" w:space="0" w:color="auto"/>
                                                                                                      </w:divBdr>
                                                                                                      <w:divsChild>
                                                                                                        <w:div w:id="643394684">
                                                                                                          <w:marLeft w:val="0"/>
                                                                                                          <w:marRight w:val="0"/>
                                                                                                          <w:marTop w:val="0"/>
                                                                                                          <w:marBottom w:val="0"/>
                                                                                                          <w:divBdr>
                                                                                                            <w:top w:val="none" w:sz="0" w:space="0" w:color="auto"/>
                                                                                                            <w:left w:val="none" w:sz="0" w:space="0" w:color="auto"/>
                                                                                                            <w:bottom w:val="none" w:sz="0" w:space="0" w:color="auto"/>
                                                                                                            <w:right w:val="none" w:sz="0" w:space="0" w:color="auto"/>
                                                                                                          </w:divBdr>
                                                                                                          <w:divsChild>
                                                                                                            <w:div w:id="10817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cpuc.ca.gov/apex/f?p=401:56:0::NO:RP,57,RIR:P5_PROCEEDING_SELECT:R17090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docs.cpuc.ca.gov/DecisionsSearchForm.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c.ca.gov/General.aspx?id=70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ps.cpuc.ca.gov/apex/f?p=401:56:0::NO:RP,57,RIR:P5_PROCEEDING_SELECT:R130901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ps.cpuc.ca.gov/apex/f?p=401:56:0::NO:RP,57,RIR:P5_PROCEEDING_SELECT:R1309011"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ocs.cpuc.ca.gov/DecisionsSearchForm.aspx" TargetMode="External"/><Relationship Id="rId2" Type="http://schemas.openxmlformats.org/officeDocument/2006/relationships/hyperlink" Target="http://docs.cpuc.ca.gov/DecisionsSearchForm.aspx" TargetMode="External"/><Relationship Id="rId1" Type="http://schemas.openxmlformats.org/officeDocument/2006/relationships/hyperlink" Target="http://docs.cpuc.ca.gov/PublishedDocs/Published/G000/M309/K463/309463502.PDF" TargetMode="External"/><Relationship Id="rId5" Type="http://schemas.openxmlformats.org/officeDocument/2006/relationships/hyperlink" Target="http://docs.cpuc.ca.gov/DecisionsSearchForm.aspx" TargetMode="External"/><Relationship Id="rId4" Type="http://schemas.openxmlformats.org/officeDocument/2006/relationships/hyperlink" Target="file:///C:\Users\MM5\AppData\Roaming\OpenText\OTEdit\EC_cpuc\c326290013\Adopted_QC_methodologymanual_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4C1762852C414BB6FCCD30D011226A"/>
        <w:category>
          <w:name w:val="General"/>
          <w:gallery w:val="placeholder"/>
        </w:category>
        <w:types>
          <w:type w:val="bbPlcHdr"/>
        </w:types>
        <w:behaviors>
          <w:behavior w:val="content"/>
        </w:behaviors>
        <w:guid w:val="{A672148F-BBF5-4E87-A0BA-112CBD1CD08F}"/>
      </w:docPartPr>
      <w:docPartBody>
        <w:p w:rsidR="00F93D31" w:rsidRDefault="00C60180" w:rsidP="00C60180">
          <w:pPr>
            <w:pStyle w:val="014C1762852C414BB6FCCD30D011226A"/>
          </w:pPr>
          <w:r w:rsidRPr="00461811">
            <w:rPr>
              <w:rStyle w:val="PlaceholderText"/>
              <w:rFonts w:cs="Helvetica"/>
            </w:rPr>
            <w:t>Enter Date</w:t>
          </w:r>
        </w:p>
      </w:docPartBody>
    </w:docPart>
    <w:docPart>
      <w:docPartPr>
        <w:name w:val="7BB5BB2D13B64685AC8FB3324FEC43F8"/>
        <w:category>
          <w:name w:val="General"/>
          <w:gallery w:val="placeholder"/>
        </w:category>
        <w:types>
          <w:type w:val="bbPlcHdr"/>
        </w:types>
        <w:behaviors>
          <w:behavior w:val="content"/>
        </w:behaviors>
        <w:guid w:val="{3A51F85A-09C2-43F8-93BC-04A569BC0892}"/>
      </w:docPartPr>
      <w:docPartBody>
        <w:p w:rsidR="00F93D31" w:rsidRDefault="00C60180" w:rsidP="00C60180">
          <w:pPr>
            <w:pStyle w:val="7BB5BB2D13B64685AC8FB3324FEC43F8"/>
          </w:pPr>
          <w:r>
            <w:rPr>
              <w:rStyle w:val="PlaceholderText"/>
              <w:color w:val="808080" w:themeColor="background1" w:themeShade="80"/>
            </w:rPr>
            <w:t>Addressee’s Name</w:t>
          </w:r>
        </w:p>
      </w:docPartBody>
    </w:docPart>
    <w:docPart>
      <w:docPartPr>
        <w:name w:val="C6F3F20E327B4691BE78E14B573BFF21"/>
        <w:category>
          <w:name w:val="General"/>
          <w:gallery w:val="placeholder"/>
        </w:category>
        <w:types>
          <w:type w:val="bbPlcHdr"/>
        </w:types>
        <w:behaviors>
          <w:behavior w:val="content"/>
        </w:behaviors>
        <w:guid w:val="{E4DC9781-2997-468E-9D41-DC51AEBC9BBD}"/>
      </w:docPartPr>
      <w:docPartBody>
        <w:p w:rsidR="00F93D31" w:rsidRDefault="00C60180" w:rsidP="00C60180">
          <w:pPr>
            <w:pStyle w:val="C6F3F20E327B4691BE78E14B573BFF21"/>
          </w:pPr>
          <w:r w:rsidRPr="00243151">
            <w:rPr>
              <w:rStyle w:val="PlaceholderText"/>
            </w:rPr>
            <w:t>Click or tap here to enter text.</w:t>
          </w:r>
        </w:p>
      </w:docPartBody>
    </w:docPart>
    <w:docPart>
      <w:docPartPr>
        <w:name w:val="15AA3206265648228E3D02CDFE146737"/>
        <w:category>
          <w:name w:val="General"/>
          <w:gallery w:val="placeholder"/>
        </w:category>
        <w:types>
          <w:type w:val="bbPlcHdr"/>
        </w:types>
        <w:behaviors>
          <w:behavior w:val="content"/>
        </w:behaviors>
        <w:guid w:val="{39D71B39-BB78-4BE7-8D3A-0AF249337062}"/>
      </w:docPartPr>
      <w:docPartBody>
        <w:p w:rsidR="00F93D31" w:rsidRDefault="00C60180" w:rsidP="00C60180">
          <w:pPr>
            <w:pStyle w:val="15AA3206265648228E3D02CDFE146737"/>
          </w:pPr>
          <w:r w:rsidRPr="00461811">
            <w:rPr>
              <w:rStyle w:val="PlaceholderText"/>
              <w:rFonts w:eastAsiaTheme="minorHAnsi" w:cs="Helvetica"/>
              <w:color w:val="767171" w:themeColor="background2" w:themeShade="80"/>
            </w:rPr>
            <w:t>Enter Subject</w:t>
          </w:r>
        </w:p>
      </w:docPartBody>
    </w:docPart>
    <w:docPart>
      <w:docPartPr>
        <w:name w:val="DC8338E4E46A4C6CA36CDC02166F17AE"/>
        <w:category>
          <w:name w:val="General"/>
          <w:gallery w:val="placeholder"/>
        </w:category>
        <w:types>
          <w:type w:val="bbPlcHdr"/>
        </w:types>
        <w:behaviors>
          <w:behavior w:val="content"/>
        </w:behaviors>
        <w:guid w:val="{109447E7-ED43-4D2A-A43B-A71294DF9508}"/>
      </w:docPartPr>
      <w:docPartBody>
        <w:p w:rsidR="0056228C" w:rsidRDefault="00F93D31" w:rsidP="00F93D31">
          <w:pPr>
            <w:pStyle w:val="DC8338E4E46A4C6CA36CDC02166F17AE"/>
          </w:pPr>
          <w:r w:rsidRPr="001B644B">
            <w:rPr>
              <w:color w:val="808080" w:themeColor="background1" w:themeShade="80"/>
            </w:rPr>
            <w:t>Enter subject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80"/>
    <w:rsid w:val="0012183A"/>
    <w:rsid w:val="002C47A3"/>
    <w:rsid w:val="003E687A"/>
    <w:rsid w:val="0056228C"/>
    <w:rsid w:val="00AD1488"/>
    <w:rsid w:val="00C60180"/>
    <w:rsid w:val="00F9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180"/>
    <w:rPr>
      <w:color w:val="808080"/>
    </w:rPr>
  </w:style>
  <w:style w:type="paragraph" w:customStyle="1" w:styleId="014C1762852C414BB6FCCD30D011226A">
    <w:name w:val="014C1762852C414BB6FCCD30D011226A"/>
    <w:rsid w:val="00C60180"/>
  </w:style>
  <w:style w:type="paragraph" w:customStyle="1" w:styleId="7BB5BB2D13B64685AC8FB3324FEC43F8">
    <w:name w:val="7BB5BB2D13B64685AC8FB3324FEC43F8"/>
    <w:rsid w:val="00C60180"/>
  </w:style>
  <w:style w:type="paragraph" w:customStyle="1" w:styleId="C6F3F20E327B4691BE78E14B573BFF21">
    <w:name w:val="C6F3F20E327B4691BE78E14B573BFF21"/>
    <w:rsid w:val="00C60180"/>
  </w:style>
  <w:style w:type="paragraph" w:customStyle="1" w:styleId="15AA3206265648228E3D02CDFE146737">
    <w:name w:val="15AA3206265648228E3D02CDFE146737"/>
    <w:rsid w:val="00C60180"/>
  </w:style>
  <w:style w:type="paragraph" w:customStyle="1" w:styleId="E45915C5344D47D6977B4FBA5788E1EF">
    <w:name w:val="E45915C5344D47D6977B4FBA5788E1EF"/>
    <w:rsid w:val="00F93D31"/>
  </w:style>
  <w:style w:type="paragraph" w:customStyle="1" w:styleId="7C51C5721A46458ABB293EA3ED2A1C2C">
    <w:name w:val="7C51C5721A46458ABB293EA3ED2A1C2C"/>
    <w:rsid w:val="00F93D31"/>
  </w:style>
  <w:style w:type="paragraph" w:customStyle="1" w:styleId="DC8338E4E46A4C6CA36CDC02166F17AE">
    <w:name w:val="DC8338E4E46A4C6CA36CDC02166F17AE"/>
    <w:rsid w:val="00F9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A1AA-F28D-4682-BF6A-588F8B1D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9049</Characters>
  <Application>Microsoft Office Word</Application>
  <DocSecurity>0</DocSecurity>
  <Lines>291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Mozafari, Maryam</dc:creator>
  <cp:keywords/>
  <dc:description/>
  <cp:lastModifiedBy>Mozafari, Maryam</cp:lastModifiedBy>
  <cp:revision>3</cp:revision>
  <cp:lastPrinted>2020-01-10T23:50:00Z</cp:lastPrinted>
  <dcterms:created xsi:type="dcterms:W3CDTF">2020-02-19T01:45:00Z</dcterms:created>
  <dcterms:modified xsi:type="dcterms:W3CDTF">2020-02-19T01:55:00Z</dcterms:modified>
</cp:coreProperties>
</file>