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FA" w:rsidRPr="00F24FE7" w:rsidRDefault="004931FA" w:rsidP="004931FA">
      <w:pPr>
        <w:jc w:val="center"/>
        <w:rPr>
          <w:b/>
        </w:rPr>
      </w:pPr>
      <w:bookmarkStart w:id="0" w:name="_GoBack"/>
      <w:bookmarkEnd w:id="0"/>
      <w:r w:rsidRPr="00F24FE7">
        <w:rPr>
          <w:b/>
        </w:rPr>
        <w:t xml:space="preserve">Potential and Goals Study for 2015 and Beyond </w:t>
      </w:r>
      <w:r w:rsidR="00C630C8">
        <w:rPr>
          <w:b/>
        </w:rPr>
        <w:t>– Draft Results</w:t>
      </w:r>
    </w:p>
    <w:p w:rsidR="004931FA" w:rsidRDefault="00C630C8" w:rsidP="004931FA">
      <w:pPr>
        <w:jc w:val="center"/>
        <w:rPr>
          <w:b/>
        </w:rPr>
      </w:pPr>
      <w:r>
        <w:rPr>
          <w:b/>
        </w:rPr>
        <w:t>March 17</w:t>
      </w:r>
      <w:r w:rsidR="00C446D4">
        <w:rPr>
          <w:b/>
        </w:rPr>
        <w:t>, 2015: 9:30 AM to 3</w:t>
      </w:r>
      <w:r w:rsidR="004931FA" w:rsidRPr="00F24FE7">
        <w:rPr>
          <w:b/>
        </w:rPr>
        <w:t>:00 PM</w:t>
      </w:r>
    </w:p>
    <w:p w:rsidR="00F669E1" w:rsidRPr="00F24FE7" w:rsidRDefault="00F669E1" w:rsidP="004931FA">
      <w:pPr>
        <w:jc w:val="center"/>
        <w:rPr>
          <w:b/>
        </w:rPr>
      </w:pPr>
      <w:r w:rsidRPr="0007201B">
        <w:rPr>
          <w:b/>
        </w:rPr>
        <w:t>Courtyard Room, 505 Van Ness Avenue, SF</w:t>
      </w:r>
    </w:p>
    <w:p w:rsidR="005E2865" w:rsidRDefault="004931FA" w:rsidP="004931FA">
      <w:r w:rsidRPr="00FC6AFC">
        <w:t>The Potential and Goals Study Team will host a</w:t>
      </w:r>
      <w:r w:rsidR="005E2865" w:rsidRPr="00FC6AFC">
        <w:t>n in-person</w:t>
      </w:r>
      <w:r w:rsidRPr="00FC6AFC">
        <w:t xml:space="preserve"> </w:t>
      </w:r>
      <w:r w:rsidR="005E2865" w:rsidRPr="00FC6AFC">
        <w:t xml:space="preserve">workshop </w:t>
      </w:r>
      <w:r w:rsidR="00C630C8" w:rsidRPr="00FC6AFC">
        <w:t>to discuss the draft results from the</w:t>
      </w:r>
      <w:r w:rsidR="005E2865" w:rsidRPr="00FC6AFC">
        <w:t xml:space="preserve"> Potential and Goals Study Update. The workshop will aim to let stakeholders </w:t>
      </w:r>
      <w:r w:rsidR="00C630C8" w:rsidRPr="00FC6AFC">
        <w:t xml:space="preserve">review the results and </w:t>
      </w:r>
      <w:r w:rsidR="00FC6AFC" w:rsidRPr="00FC6AFC">
        <w:t xml:space="preserve">understand </w:t>
      </w:r>
      <w:r w:rsidR="00C630C8" w:rsidRPr="00FC6AFC">
        <w:t>key sources of data</w:t>
      </w:r>
      <w:r w:rsidR="005E2865" w:rsidRPr="00FC6AFC">
        <w:t xml:space="preserve"> used to update the model.</w:t>
      </w:r>
    </w:p>
    <w:p w:rsidR="0007201B" w:rsidRPr="00FC6AFC" w:rsidRDefault="0007201B" w:rsidP="004931FA">
      <w:r>
        <w:t>WebEx Information</w:t>
      </w:r>
      <w:r w:rsidRPr="0007201B">
        <w:br/>
        <w:t xml:space="preserve">Meeting number: 599 827 798 </w:t>
      </w:r>
      <w:r w:rsidRPr="0007201B">
        <w:br/>
        <w:t xml:space="preserve">Meeting password: (This meeting </w:t>
      </w:r>
      <w:r>
        <w:t xml:space="preserve">does not require a password.)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hyperlink r:id="rId9" w:tgtFrame="_blank" w:history="1">
        <w:r w:rsidRPr="0007201B">
          <w:rPr>
            <w:rStyle w:val="Hyperlink"/>
            <w:rFonts w:asciiTheme="minorHAnsi" w:hAnsiTheme="minorHAnsi" w:cs="Tahoma"/>
            <w:szCs w:val="20"/>
          </w:rPr>
          <w:t>https://insidenci.webex.com/insidenci/j.php?MTID=m9dc1078c319c1179b4884ad659b47f80</w:t>
        </w:r>
      </w:hyperlink>
      <w:r w:rsidRPr="0007201B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br/>
      </w:r>
      <w:r w:rsidRPr="0007201B">
        <w:rPr>
          <w:b/>
        </w:rPr>
        <w:t xml:space="preserve">Teleconference: 1-866-227-0668 </w:t>
      </w:r>
      <w:r w:rsidRPr="0007201B">
        <w:rPr>
          <w:b/>
        </w:rPr>
        <w:br/>
        <w:t>Conference Code: 830-499-0097</w:t>
      </w:r>
    </w:p>
    <w:p w:rsidR="004931FA" w:rsidRDefault="004931FA" w:rsidP="004931FA">
      <w:r w:rsidRPr="0007201B">
        <w:t xml:space="preserve">Participants will include </w:t>
      </w:r>
      <w:r w:rsidR="005E2865" w:rsidRPr="0007201B">
        <w:t xml:space="preserve">the </w:t>
      </w:r>
      <w:r w:rsidRPr="0007201B">
        <w:t>Commiss</w:t>
      </w:r>
      <w:r w:rsidR="0007201B">
        <w:t xml:space="preserve">ion project and consultant team, </w:t>
      </w:r>
      <w:r w:rsidRPr="0007201B">
        <w:t>DAWG participants</w:t>
      </w:r>
      <w:r w:rsidR="0007201B">
        <w:t>, and R.13-11-005 stakeholders</w:t>
      </w:r>
      <w:r w:rsidRPr="0007201B">
        <w:t>.</w:t>
      </w: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1620"/>
        <w:gridCol w:w="2137"/>
        <w:gridCol w:w="1440"/>
        <w:gridCol w:w="5423"/>
      </w:tblGrid>
      <w:tr w:rsidR="004931FA" w:rsidTr="00797645">
        <w:tc>
          <w:tcPr>
            <w:tcW w:w="1620" w:type="dxa"/>
          </w:tcPr>
          <w:p w:rsidR="004931FA" w:rsidRPr="00F24FE7" w:rsidRDefault="004931FA" w:rsidP="00702C4A">
            <w:pPr>
              <w:rPr>
                <w:b/>
              </w:rPr>
            </w:pPr>
            <w:r w:rsidRPr="00F24FE7">
              <w:rPr>
                <w:b/>
              </w:rPr>
              <w:t>Time</w:t>
            </w:r>
          </w:p>
        </w:tc>
        <w:tc>
          <w:tcPr>
            <w:tcW w:w="2137" w:type="dxa"/>
          </w:tcPr>
          <w:p w:rsidR="004931FA" w:rsidRPr="00F24FE7" w:rsidRDefault="004931FA" w:rsidP="00702C4A">
            <w:pPr>
              <w:rPr>
                <w:b/>
              </w:rPr>
            </w:pPr>
            <w:r w:rsidRPr="00F24FE7">
              <w:rPr>
                <w:b/>
              </w:rPr>
              <w:t>Topic</w:t>
            </w:r>
          </w:p>
        </w:tc>
        <w:tc>
          <w:tcPr>
            <w:tcW w:w="1440" w:type="dxa"/>
          </w:tcPr>
          <w:p w:rsidR="004931FA" w:rsidRPr="00F24FE7" w:rsidRDefault="004931FA" w:rsidP="00702C4A">
            <w:pPr>
              <w:rPr>
                <w:b/>
              </w:rPr>
            </w:pPr>
            <w:r w:rsidRPr="00F24FE7">
              <w:rPr>
                <w:b/>
              </w:rPr>
              <w:t>Presenter</w:t>
            </w:r>
          </w:p>
        </w:tc>
        <w:tc>
          <w:tcPr>
            <w:tcW w:w="5423" w:type="dxa"/>
          </w:tcPr>
          <w:p w:rsidR="004931FA" w:rsidRPr="00F24FE7" w:rsidRDefault="004931FA" w:rsidP="00702C4A">
            <w:pPr>
              <w:rPr>
                <w:b/>
              </w:rPr>
            </w:pPr>
            <w:r w:rsidRPr="00F24FE7">
              <w:rPr>
                <w:b/>
              </w:rPr>
              <w:t>Outcome</w:t>
            </w:r>
          </w:p>
        </w:tc>
      </w:tr>
      <w:tr w:rsidR="004931FA" w:rsidTr="00797645">
        <w:tc>
          <w:tcPr>
            <w:tcW w:w="1620" w:type="dxa"/>
          </w:tcPr>
          <w:p w:rsidR="004931FA" w:rsidRDefault="00C446D4" w:rsidP="00C630C8">
            <w:r>
              <w:t>9:30 to 9:</w:t>
            </w:r>
            <w:r w:rsidR="00C630C8">
              <w:t>40</w:t>
            </w:r>
          </w:p>
        </w:tc>
        <w:tc>
          <w:tcPr>
            <w:tcW w:w="2137" w:type="dxa"/>
          </w:tcPr>
          <w:p w:rsidR="004931FA" w:rsidRDefault="004931FA" w:rsidP="00702C4A">
            <w:r>
              <w:t>Introduction</w:t>
            </w:r>
            <w:r w:rsidR="00C630C8">
              <w:t xml:space="preserve"> and Schedule</w:t>
            </w:r>
          </w:p>
        </w:tc>
        <w:tc>
          <w:tcPr>
            <w:tcW w:w="1440" w:type="dxa"/>
          </w:tcPr>
          <w:p w:rsidR="004931FA" w:rsidRDefault="004931FA" w:rsidP="00702C4A">
            <w:r>
              <w:t>Aaron Lu</w:t>
            </w:r>
          </w:p>
        </w:tc>
        <w:tc>
          <w:tcPr>
            <w:tcW w:w="5423" w:type="dxa"/>
          </w:tcPr>
          <w:p w:rsidR="004931FA" w:rsidRDefault="004931FA" w:rsidP="0002266D">
            <w:pPr>
              <w:spacing w:after="120"/>
            </w:pPr>
            <w:r>
              <w:t>Participants familiarize themselves with leads and project’s context and background information</w:t>
            </w:r>
            <w:r w:rsidR="00C630C8">
              <w:t xml:space="preserve"> as well as the schedule</w:t>
            </w:r>
            <w:r w:rsidR="00797645">
              <w:t>.</w:t>
            </w:r>
          </w:p>
        </w:tc>
      </w:tr>
      <w:tr w:rsidR="005E2865" w:rsidTr="00797645">
        <w:tc>
          <w:tcPr>
            <w:tcW w:w="1620" w:type="dxa"/>
          </w:tcPr>
          <w:p w:rsidR="005E2865" w:rsidRDefault="00C446D4" w:rsidP="00C630C8">
            <w:r>
              <w:t>9:</w:t>
            </w:r>
            <w:r w:rsidR="00C630C8">
              <w:t>40 to 10:00</w:t>
            </w:r>
          </w:p>
        </w:tc>
        <w:tc>
          <w:tcPr>
            <w:tcW w:w="2137" w:type="dxa"/>
          </w:tcPr>
          <w:p w:rsidR="005E2865" w:rsidRDefault="00C630C8" w:rsidP="00C630C8">
            <w:r>
              <w:t xml:space="preserve">Overview and </w:t>
            </w:r>
            <w:r w:rsidR="003C738C">
              <w:t>Scope</w:t>
            </w:r>
            <w:r w:rsidR="00897F46">
              <w:t xml:space="preserve"> Highlights</w:t>
            </w:r>
          </w:p>
        </w:tc>
        <w:tc>
          <w:tcPr>
            <w:tcW w:w="1440" w:type="dxa"/>
          </w:tcPr>
          <w:p w:rsidR="005E2865" w:rsidRDefault="005E2865" w:rsidP="00702C4A">
            <w:r>
              <w:t>Navigant</w:t>
            </w:r>
          </w:p>
        </w:tc>
        <w:tc>
          <w:tcPr>
            <w:tcW w:w="5423" w:type="dxa"/>
          </w:tcPr>
          <w:p w:rsidR="005E2865" w:rsidRDefault="005E2865" w:rsidP="00C630C8">
            <w:pPr>
              <w:spacing w:after="120"/>
            </w:pPr>
            <w:r>
              <w:t xml:space="preserve">Participants </w:t>
            </w:r>
            <w:r w:rsidR="00897F46">
              <w:t xml:space="preserve">understand the scope </w:t>
            </w:r>
            <w:r w:rsidR="00C630C8">
              <w:t>for the 2015 update and get an overview of the data source</w:t>
            </w:r>
            <w:r w:rsidR="0017795E">
              <w:t>s</w:t>
            </w:r>
            <w:r w:rsidR="00C630C8">
              <w:t xml:space="preserve"> and draft deliverables</w:t>
            </w:r>
            <w:r w:rsidR="0002266D">
              <w:t>.</w:t>
            </w:r>
          </w:p>
        </w:tc>
      </w:tr>
      <w:tr w:rsidR="004931FA" w:rsidTr="00797645">
        <w:tc>
          <w:tcPr>
            <w:tcW w:w="1620" w:type="dxa"/>
          </w:tcPr>
          <w:p w:rsidR="004931FA" w:rsidRDefault="00C630C8" w:rsidP="0002266D">
            <w:r>
              <w:t>10</w:t>
            </w:r>
            <w:r w:rsidR="00C446D4">
              <w:t>:</w:t>
            </w:r>
            <w:r>
              <w:t>00</w:t>
            </w:r>
            <w:r w:rsidR="00C446D4">
              <w:t xml:space="preserve"> to 10:</w:t>
            </w:r>
            <w:r w:rsidR="0002266D">
              <w:t>15</w:t>
            </w:r>
          </w:p>
        </w:tc>
        <w:tc>
          <w:tcPr>
            <w:tcW w:w="2137" w:type="dxa"/>
          </w:tcPr>
          <w:p w:rsidR="004931FA" w:rsidRDefault="0002266D" w:rsidP="0002266D">
            <w:r>
              <w:t>Model overview</w:t>
            </w:r>
          </w:p>
        </w:tc>
        <w:tc>
          <w:tcPr>
            <w:tcW w:w="1440" w:type="dxa"/>
          </w:tcPr>
          <w:p w:rsidR="004931FA" w:rsidRDefault="0002266D" w:rsidP="00702C4A">
            <w:r>
              <w:t>Navigant</w:t>
            </w:r>
          </w:p>
        </w:tc>
        <w:tc>
          <w:tcPr>
            <w:tcW w:w="5423" w:type="dxa"/>
          </w:tcPr>
          <w:p w:rsidR="004931FA" w:rsidRDefault="0002266D" w:rsidP="0002266D">
            <w:pPr>
              <w:spacing w:after="120"/>
            </w:pPr>
            <w:r>
              <w:t>Participants understand the updated model.</w:t>
            </w:r>
          </w:p>
        </w:tc>
      </w:tr>
      <w:tr w:rsidR="00797645" w:rsidTr="00797645">
        <w:tc>
          <w:tcPr>
            <w:tcW w:w="1620" w:type="dxa"/>
          </w:tcPr>
          <w:p w:rsidR="00797645" w:rsidRDefault="00797645" w:rsidP="0017795E">
            <w:r>
              <w:t>10:15</w:t>
            </w:r>
            <w:r w:rsidR="0017795E">
              <w:t xml:space="preserve"> to 10</w:t>
            </w:r>
            <w:r>
              <w:t>:</w:t>
            </w:r>
            <w:r w:rsidR="0017795E">
              <w:t>5</w:t>
            </w:r>
            <w:r>
              <w:t>0</w:t>
            </w:r>
          </w:p>
        </w:tc>
        <w:tc>
          <w:tcPr>
            <w:tcW w:w="2137" w:type="dxa"/>
          </w:tcPr>
          <w:p w:rsidR="00797645" w:rsidRDefault="00797645" w:rsidP="00797645">
            <w:r>
              <w:t>Results overview</w:t>
            </w:r>
          </w:p>
        </w:tc>
        <w:tc>
          <w:tcPr>
            <w:tcW w:w="1440" w:type="dxa"/>
          </w:tcPr>
          <w:p w:rsidR="00797645" w:rsidRDefault="00797645" w:rsidP="00797645">
            <w:r>
              <w:t>Navigant</w:t>
            </w:r>
          </w:p>
        </w:tc>
        <w:tc>
          <w:tcPr>
            <w:tcW w:w="5423" w:type="dxa"/>
          </w:tcPr>
          <w:p w:rsidR="00797645" w:rsidRDefault="00797645" w:rsidP="00797645">
            <w:pPr>
              <w:spacing w:after="120"/>
            </w:pPr>
            <w:r>
              <w:t>Participants understand how to view and interpret the draft results.</w:t>
            </w:r>
          </w:p>
        </w:tc>
      </w:tr>
      <w:tr w:rsidR="00797645" w:rsidTr="00797645">
        <w:tc>
          <w:tcPr>
            <w:tcW w:w="1620" w:type="dxa"/>
          </w:tcPr>
          <w:p w:rsidR="00797645" w:rsidRDefault="00797645" w:rsidP="0017795E">
            <w:r>
              <w:t>1</w:t>
            </w:r>
            <w:r w:rsidR="0017795E">
              <w:t>0</w:t>
            </w:r>
            <w:r>
              <w:t>:</w:t>
            </w:r>
            <w:r w:rsidR="0017795E">
              <w:t>5</w:t>
            </w:r>
            <w:r>
              <w:t>0 to 1</w:t>
            </w:r>
            <w:r w:rsidR="0017795E">
              <w:t>0</w:t>
            </w:r>
            <w:r>
              <w:t>:</w:t>
            </w:r>
            <w:r w:rsidR="0017795E">
              <w:t>5</w:t>
            </w:r>
            <w:r>
              <w:t>5</w:t>
            </w:r>
          </w:p>
        </w:tc>
        <w:tc>
          <w:tcPr>
            <w:tcW w:w="2137" w:type="dxa"/>
          </w:tcPr>
          <w:p w:rsidR="00797645" w:rsidRDefault="00797645" w:rsidP="00797645">
            <w:r>
              <w:t>Break</w:t>
            </w:r>
          </w:p>
        </w:tc>
        <w:tc>
          <w:tcPr>
            <w:tcW w:w="1440" w:type="dxa"/>
          </w:tcPr>
          <w:p w:rsidR="00797645" w:rsidRDefault="00797645" w:rsidP="00797645"/>
        </w:tc>
        <w:tc>
          <w:tcPr>
            <w:tcW w:w="5423" w:type="dxa"/>
          </w:tcPr>
          <w:p w:rsidR="00797645" w:rsidRDefault="00797645" w:rsidP="00797645">
            <w:pPr>
              <w:spacing w:after="120"/>
            </w:pPr>
          </w:p>
        </w:tc>
      </w:tr>
      <w:tr w:rsidR="00797645" w:rsidTr="00797645">
        <w:trPr>
          <w:trHeight w:val="629"/>
        </w:trPr>
        <w:tc>
          <w:tcPr>
            <w:tcW w:w="1620" w:type="dxa"/>
          </w:tcPr>
          <w:p w:rsidR="00797645" w:rsidRDefault="00797645" w:rsidP="00911D6A">
            <w:r>
              <w:t>1</w:t>
            </w:r>
            <w:r w:rsidR="00911D6A">
              <w:t>0</w:t>
            </w:r>
            <w:r>
              <w:t>:</w:t>
            </w:r>
            <w:r w:rsidR="0017795E">
              <w:t>55 to 11:1</w:t>
            </w:r>
            <w:r>
              <w:t>0</w:t>
            </w:r>
          </w:p>
        </w:tc>
        <w:tc>
          <w:tcPr>
            <w:tcW w:w="2137" w:type="dxa"/>
          </w:tcPr>
          <w:p w:rsidR="00797645" w:rsidRDefault="00797645" w:rsidP="00797645">
            <w:r>
              <w:t>Input Sources: Global Inputs</w:t>
            </w:r>
          </w:p>
        </w:tc>
        <w:tc>
          <w:tcPr>
            <w:tcW w:w="1440" w:type="dxa"/>
          </w:tcPr>
          <w:p w:rsidR="00797645" w:rsidRDefault="00797645" w:rsidP="00797645">
            <w:r>
              <w:t>Navigant</w:t>
            </w:r>
          </w:p>
        </w:tc>
        <w:tc>
          <w:tcPr>
            <w:tcW w:w="5423" w:type="dxa"/>
          </w:tcPr>
          <w:p w:rsidR="00797645" w:rsidRDefault="00797645" w:rsidP="00797645">
            <w:pPr>
              <w:spacing w:after="120"/>
            </w:pPr>
            <w:r>
              <w:t>Participants understand the model assumptions for global inputs (building stock, retail price, program costs, etc.)</w:t>
            </w:r>
          </w:p>
        </w:tc>
      </w:tr>
      <w:tr w:rsidR="00797645" w:rsidTr="00797645">
        <w:trPr>
          <w:trHeight w:val="1043"/>
        </w:trPr>
        <w:tc>
          <w:tcPr>
            <w:tcW w:w="1620" w:type="dxa"/>
          </w:tcPr>
          <w:p w:rsidR="00797645" w:rsidRDefault="00797645" w:rsidP="0017795E">
            <w:r>
              <w:t>11:</w:t>
            </w:r>
            <w:r w:rsidR="0017795E">
              <w:t>10</w:t>
            </w:r>
            <w:r>
              <w:t xml:space="preserve"> to 11:</w:t>
            </w:r>
            <w:r w:rsidR="0017795E">
              <w:t>30</w:t>
            </w:r>
          </w:p>
        </w:tc>
        <w:tc>
          <w:tcPr>
            <w:tcW w:w="2137" w:type="dxa"/>
          </w:tcPr>
          <w:p w:rsidR="00797645" w:rsidRDefault="00797645" w:rsidP="00797645">
            <w:r>
              <w:t>Input Sources: Res/Com Conventional Measures</w:t>
            </w:r>
          </w:p>
        </w:tc>
        <w:tc>
          <w:tcPr>
            <w:tcW w:w="1440" w:type="dxa"/>
          </w:tcPr>
          <w:p w:rsidR="00797645" w:rsidRDefault="00797645" w:rsidP="00797645">
            <w:r>
              <w:t>Navigant</w:t>
            </w:r>
          </w:p>
        </w:tc>
        <w:tc>
          <w:tcPr>
            <w:tcW w:w="5423" w:type="dxa"/>
          </w:tcPr>
          <w:p w:rsidR="00797645" w:rsidRDefault="00797645" w:rsidP="00797645">
            <w:pPr>
              <w:spacing w:after="120"/>
            </w:pPr>
            <w:r>
              <w:t>Participants understand how to view the measure characterization data for Residential and Commercial measures and locate their sources.</w:t>
            </w:r>
          </w:p>
        </w:tc>
      </w:tr>
      <w:tr w:rsidR="00797645" w:rsidTr="00797645">
        <w:tc>
          <w:tcPr>
            <w:tcW w:w="1620" w:type="dxa"/>
          </w:tcPr>
          <w:p w:rsidR="00797645" w:rsidRDefault="00797645" w:rsidP="0017795E">
            <w:pPr>
              <w:spacing w:after="120"/>
            </w:pPr>
            <w:r>
              <w:lastRenderedPageBreak/>
              <w:t>11:</w:t>
            </w:r>
            <w:r w:rsidR="0017795E">
              <w:t>30 to 11:50</w:t>
            </w:r>
          </w:p>
        </w:tc>
        <w:tc>
          <w:tcPr>
            <w:tcW w:w="2137" w:type="dxa"/>
          </w:tcPr>
          <w:p w:rsidR="00797645" w:rsidRDefault="00797645" w:rsidP="00797645">
            <w:r>
              <w:t>Input Sources: AIMS</w:t>
            </w:r>
          </w:p>
        </w:tc>
        <w:tc>
          <w:tcPr>
            <w:tcW w:w="1440" w:type="dxa"/>
          </w:tcPr>
          <w:p w:rsidR="00797645" w:rsidRDefault="00797645" w:rsidP="00797645">
            <w:pPr>
              <w:spacing w:after="120"/>
            </w:pPr>
            <w:r>
              <w:t>Navigant</w:t>
            </w:r>
          </w:p>
        </w:tc>
        <w:tc>
          <w:tcPr>
            <w:tcW w:w="5423" w:type="dxa"/>
          </w:tcPr>
          <w:p w:rsidR="00797645" w:rsidRDefault="00797645" w:rsidP="00797645">
            <w:pPr>
              <w:spacing w:after="120"/>
            </w:pPr>
            <w:r>
              <w:t>Participants understand the sources for the update to the agriculture, industrial, mining and street lighting sectors.</w:t>
            </w:r>
          </w:p>
        </w:tc>
      </w:tr>
      <w:tr w:rsidR="00797645" w:rsidTr="00797645">
        <w:tc>
          <w:tcPr>
            <w:tcW w:w="1620" w:type="dxa"/>
          </w:tcPr>
          <w:p w:rsidR="00797645" w:rsidRDefault="0017795E" w:rsidP="0017795E">
            <w:pPr>
              <w:spacing w:after="120"/>
            </w:pPr>
            <w:r>
              <w:t>11:50</w:t>
            </w:r>
            <w:r w:rsidR="00797645">
              <w:t xml:space="preserve"> to 12:</w:t>
            </w:r>
            <w:r>
              <w:t>50</w:t>
            </w:r>
          </w:p>
        </w:tc>
        <w:tc>
          <w:tcPr>
            <w:tcW w:w="2137" w:type="dxa"/>
          </w:tcPr>
          <w:p w:rsidR="00797645" w:rsidRDefault="00797645" w:rsidP="00797645">
            <w:pPr>
              <w:spacing w:after="120"/>
            </w:pPr>
            <w:r>
              <w:t>Lunch</w:t>
            </w:r>
          </w:p>
        </w:tc>
        <w:tc>
          <w:tcPr>
            <w:tcW w:w="1440" w:type="dxa"/>
          </w:tcPr>
          <w:p w:rsidR="00797645" w:rsidRDefault="00797645" w:rsidP="00797645">
            <w:pPr>
              <w:spacing w:after="120"/>
            </w:pPr>
          </w:p>
        </w:tc>
        <w:tc>
          <w:tcPr>
            <w:tcW w:w="5423" w:type="dxa"/>
          </w:tcPr>
          <w:p w:rsidR="00797645" w:rsidRDefault="00797645" w:rsidP="00797645">
            <w:pPr>
              <w:spacing w:after="120"/>
            </w:pPr>
          </w:p>
        </w:tc>
      </w:tr>
      <w:tr w:rsidR="00797645" w:rsidTr="00797645">
        <w:tc>
          <w:tcPr>
            <w:tcW w:w="1620" w:type="dxa"/>
          </w:tcPr>
          <w:p w:rsidR="00797645" w:rsidRDefault="00797645" w:rsidP="0017795E">
            <w:r>
              <w:t>12:5</w:t>
            </w:r>
            <w:r w:rsidR="0017795E">
              <w:t>0</w:t>
            </w:r>
            <w:r>
              <w:t xml:space="preserve"> to 1:05</w:t>
            </w:r>
          </w:p>
        </w:tc>
        <w:tc>
          <w:tcPr>
            <w:tcW w:w="2137" w:type="dxa"/>
          </w:tcPr>
          <w:p w:rsidR="00797645" w:rsidRDefault="00797645" w:rsidP="00797645">
            <w:r>
              <w:t xml:space="preserve">Codes and Standards </w:t>
            </w:r>
          </w:p>
        </w:tc>
        <w:tc>
          <w:tcPr>
            <w:tcW w:w="1440" w:type="dxa"/>
          </w:tcPr>
          <w:p w:rsidR="00797645" w:rsidRDefault="00797645" w:rsidP="00797645">
            <w:r>
              <w:t>Navigant</w:t>
            </w:r>
          </w:p>
        </w:tc>
        <w:tc>
          <w:tcPr>
            <w:tcW w:w="5423" w:type="dxa"/>
          </w:tcPr>
          <w:p w:rsidR="00797645" w:rsidRDefault="00797645" w:rsidP="00797645">
            <w:pPr>
              <w:spacing w:after="120"/>
            </w:pPr>
            <w:r>
              <w:t xml:space="preserve">Participants understand the sources for the update to the Codes and Standards Advocacy program modeling. </w:t>
            </w:r>
          </w:p>
        </w:tc>
      </w:tr>
      <w:tr w:rsidR="00797645" w:rsidTr="00797645">
        <w:tc>
          <w:tcPr>
            <w:tcW w:w="1620" w:type="dxa"/>
          </w:tcPr>
          <w:p w:rsidR="00797645" w:rsidRDefault="00797645" w:rsidP="00797645">
            <w:r>
              <w:t>1:05 to 1:35</w:t>
            </w:r>
          </w:p>
        </w:tc>
        <w:tc>
          <w:tcPr>
            <w:tcW w:w="2137" w:type="dxa"/>
          </w:tcPr>
          <w:p w:rsidR="00797645" w:rsidRDefault="00797645" w:rsidP="00797645">
            <w:r>
              <w:t xml:space="preserve">Emerging Technologies </w:t>
            </w:r>
          </w:p>
        </w:tc>
        <w:tc>
          <w:tcPr>
            <w:tcW w:w="1440" w:type="dxa"/>
          </w:tcPr>
          <w:p w:rsidR="00797645" w:rsidRDefault="00797645" w:rsidP="00797645">
            <w:r>
              <w:t>Navigant</w:t>
            </w:r>
          </w:p>
        </w:tc>
        <w:tc>
          <w:tcPr>
            <w:tcW w:w="5423" w:type="dxa"/>
          </w:tcPr>
          <w:p w:rsidR="00797645" w:rsidRDefault="00797645" w:rsidP="00797645">
            <w:pPr>
              <w:spacing w:after="120"/>
            </w:pPr>
            <w:r>
              <w:t xml:space="preserve">Participants understand the changes to key assumptions for emerging technologies (ET) and review ET results. </w:t>
            </w:r>
          </w:p>
        </w:tc>
      </w:tr>
      <w:tr w:rsidR="00797645" w:rsidTr="00797645">
        <w:tc>
          <w:tcPr>
            <w:tcW w:w="1620" w:type="dxa"/>
          </w:tcPr>
          <w:p w:rsidR="00797645" w:rsidRDefault="00797645" w:rsidP="00797645">
            <w:r>
              <w:t>1:35 to 1:55</w:t>
            </w:r>
          </w:p>
        </w:tc>
        <w:tc>
          <w:tcPr>
            <w:tcW w:w="2137" w:type="dxa"/>
          </w:tcPr>
          <w:p w:rsidR="00797645" w:rsidRDefault="00797645" w:rsidP="00797645">
            <w:r>
              <w:t>Whole Building Packages</w:t>
            </w:r>
          </w:p>
        </w:tc>
        <w:tc>
          <w:tcPr>
            <w:tcW w:w="1440" w:type="dxa"/>
          </w:tcPr>
          <w:p w:rsidR="00797645" w:rsidRDefault="00797645" w:rsidP="00797645">
            <w:r>
              <w:t>Navigant</w:t>
            </w:r>
          </w:p>
        </w:tc>
        <w:tc>
          <w:tcPr>
            <w:tcW w:w="5423" w:type="dxa"/>
          </w:tcPr>
          <w:p w:rsidR="00797645" w:rsidRDefault="00797645" w:rsidP="00797645">
            <w:pPr>
              <w:spacing w:after="120"/>
            </w:pPr>
            <w:r>
              <w:t>Participants understand the changes to key assumptions for whole building packages and review results.</w:t>
            </w:r>
          </w:p>
        </w:tc>
      </w:tr>
      <w:tr w:rsidR="00797645" w:rsidTr="00797645">
        <w:tc>
          <w:tcPr>
            <w:tcW w:w="1620" w:type="dxa"/>
          </w:tcPr>
          <w:p w:rsidR="00797645" w:rsidRDefault="00797645" w:rsidP="00797645">
            <w:r>
              <w:t xml:space="preserve">1:55 to 2:00 </w:t>
            </w:r>
          </w:p>
        </w:tc>
        <w:tc>
          <w:tcPr>
            <w:tcW w:w="2137" w:type="dxa"/>
          </w:tcPr>
          <w:p w:rsidR="00797645" w:rsidRDefault="00797645" w:rsidP="00797645">
            <w:r>
              <w:t>Break</w:t>
            </w:r>
          </w:p>
        </w:tc>
        <w:tc>
          <w:tcPr>
            <w:tcW w:w="1440" w:type="dxa"/>
          </w:tcPr>
          <w:p w:rsidR="00797645" w:rsidRDefault="00797645" w:rsidP="00797645"/>
        </w:tc>
        <w:tc>
          <w:tcPr>
            <w:tcW w:w="5423" w:type="dxa"/>
          </w:tcPr>
          <w:p w:rsidR="00797645" w:rsidRDefault="00797645" w:rsidP="00797645">
            <w:pPr>
              <w:spacing w:after="120"/>
            </w:pPr>
          </w:p>
        </w:tc>
      </w:tr>
      <w:tr w:rsidR="00797645" w:rsidTr="00797645">
        <w:tc>
          <w:tcPr>
            <w:tcW w:w="1620" w:type="dxa"/>
          </w:tcPr>
          <w:p w:rsidR="00797645" w:rsidRDefault="00797645" w:rsidP="00797645">
            <w:r>
              <w:t>2:00 to 2:20</w:t>
            </w:r>
          </w:p>
        </w:tc>
        <w:tc>
          <w:tcPr>
            <w:tcW w:w="2137" w:type="dxa"/>
          </w:tcPr>
          <w:p w:rsidR="00797645" w:rsidRDefault="00797645" w:rsidP="00797645">
            <w:r>
              <w:t>Financing</w:t>
            </w:r>
          </w:p>
        </w:tc>
        <w:tc>
          <w:tcPr>
            <w:tcW w:w="1440" w:type="dxa"/>
          </w:tcPr>
          <w:p w:rsidR="00797645" w:rsidRDefault="00797645" w:rsidP="00797645">
            <w:r>
              <w:t>Navigant</w:t>
            </w:r>
          </w:p>
        </w:tc>
        <w:tc>
          <w:tcPr>
            <w:tcW w:w="5423" w:type="dxa"/>
          </w:tcPr>
          <w:p w:rsidR="00797645" w:rsidRDefault="00797645" w:rsidP="00797645">
            <w:pPr>
              <w:spacing w:after="120"/>
            </w:pPr>
            <w:r>
              <w:t>Participants understand the changes to key assumptions for financing and review results.</w:t>
            </w:r>
          </w:p>
        </w:tc>
      </w:tr>
      <w:tr w:rsidR="00797645" w:rsidTr="00797645">
        <w:tc>
          <w:tcPr>
            <w:tcW w:w="1620" w:type="dxa"/>
          </w:tcPr>
          <w:p w:rsidR="00797645" w:rsidRDefault="00797645" w:rsidP="00797645">
            <w:r>
              <w:t>2:20 to 2:40</w:t>
            </w:r>
          </w:p>
        </w:tc>
        <w:tc>
          <w:tcPr>
            <w:tcW w:w="2137" w:type="dxa"/>
          </w:tcPr>
          <w:p w:rsidR="00797645" w:rsidRDefault="00797645" w:rsidP="00797645">
            <w:pPr>
              <w:spacing w:after="120"/>
            </w:pPr>
            <w:r>
              <w:t>Behavior Programs</w:t>
            </w:r>
          </w:p>
        </w:tc>
        <w:tc>
          <w:tcPr>
            <w:tcW w:w="1440" w:type="dxa"/>
          </w:tcPr>
          <w:p w:rsidR="00797645" w:rsidRDefault="00797645" w:rsidP="00797645">
            <w:pPr>
              <w:spacing w:after="120"/>
            </w:pPr>
            <w:r>
              <w:t>Navigant</w:t>
            </w:r>
          </w:p>
        </w:tc>
        <w:tc>
          <w:tcPr>
            <w:tcW w:w="5423" w:type="dxa"/>
          </w:tcPr>
          <w:p w:rsidR="00797645" w:rsidRDefault="00797645" w:rsidP="00797645">
            <w:pPr>
              <w:spacing w:after="120"/>
            </w:pPr>
            <w:r>
              <w:t>Participants understand the changes to key assumptions for behavior programs and review results.</w:t>
            </w:r>
          </w:p>
        </w:tc>
      </w:tr>
      <w:tr w:rsidR="00797645" w:rsidTr="00797645">
        <w:tc>
          <w:tcPr>
            <w:tcW w:w="1620" w:type="dxa"/>
          </w:tcPr>
          <w:p w:rsidR="00797645" w:rsidRDefault="00797645" w:rsidP="00797645">
            <w:r>
              <w:t>2:40 to 3:00</w:t>
            </w:r>
          </w:p>
        </w:tc>
        <w:tc>
          <w:tcPr>
            <w:tcW w:w="2137" w:type="dxa"/>
          </w:tcPr>
          <w:p w:rsidR="00797645" w:rsidRDefault="00797645" w:rsidP="00797645">
            <w:pPr>
              <w:spacing w:after="120"/>
            </w:pPr>
            <w:r>
              <w:t>Q&amp;A, Summary and Conclusion</w:t>
            </w:r>
          </w:p>
        </w:tc>
        <w:tc>
          <w:tcPr>
            <w:tcW w:w="1440" w:type="dxa"/>
          </w:tcPr>
          <w:p w:rsidR="00797645" w:rsidRDefault="00797645" w:rsidP="00797645">
            <w:pPr>
              <w:spacing w:after="120"/>
            </w:pPr>
            <w:r>
              <w:t>Aaron Lu</w:t>
            </w:r>
          </w:p>
        </w:tc>
        <w:tc>
          <w:tcPr>
            <w:tcW w:w="5423" w:type="dxa"/>
          </w:tcPr>
          <w:p w:rsidR="00797645" w:rsidRDefault="00797645" w:rsidP="00797645">
            <w:pPr>
              <w:spacing w:after="120"/>
            </w:pPr>
            <w:r>
              <w:t>Participants understand major takeaways from this meeting and next step action items.</w:t>
            </w:r>
          </w:p>
        </w:tc>
      </w:tr>
    </w:tbl>
    <w:p w:rsidR="004931FA" w:rsidRDefault="004931FA" w:rsidP="004931FA"/>
    <w:sectPr w:rsidR="004931F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20" w:rsidRDefault="00593820" w:rsidP="00F01AE8">
      <w:pPr>
        <w:spacing w:after="0" w:line="240" w:lineRule="auto"/>
      </w:pPr>
      <w:r>
        <w:separator/>
      </w:r>
    </w:p>
  </w:endnote>
  <w:endnote w:type="continuationSeparator" w:id="0">
    <w:p w:rsidR="00593820" w:rsidRDefault="00593820" w:rsidP="00F0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AE8" w:rsidRDefault="00F01AE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67BE1">
      <w:rPr>
        <w:noProof/>
      </w:rPr>
      <w:t>1</w:t>
    </w:r>
    <w:r>
      <w:rPr>
        <w:noProof/>
      </w:rPr>
      <w:fldChar w:fldCharType="end"/>
    </w:r>
  </w:p>
  <w:p w:rsidR="00F01AE8" w:rsidRDefault="00F01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20" w:rsidRDefault="00593820" w:rsidP="00F01AE8">
      <w:pPr>
        <w:spacing w:after="0" w:line="240" w:lineRule="auto"/>
      </w:pPr>
      <w:r>
        <w:separator/>
      </w:r>
    </w:p>
  </w:footnote>
  <w:footnote w:type="continuationSeparator" w:id="0">
    <w:p w:rsidR="00593820" w:rsidRDefault="00593820" w:rsidP="00F0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BBD"/>
    <w:multiLevelType w:val="hybridMultilevel"/>
    <w:tmpl w:val="530A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65A11"/>
    <w:multiLevelType w:val="hybridMultilevel"/>
    <w:tmpl w:val="F43E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FA"/>
    <w:rsid w:val="0002266D"/>
    <w:rsid w:val="0003742F"/>
    <w:rsid w:val="0007201B"/>
    <w:rsid w:val="000771C6"/>
    <w:rsid w:val="000B7933"/>
    <w:rsid w:val="000E385E"/>
    <w:rsid w:val="00127E8C"/>
    <w:rsid w:val="0017795E"/>
    <w:rsid w:val="00185B57"/>
    <w:rsid w:val="00193F78"/>
    <w:rsid w:val="00205B12"/>
    <w:rsid w:val="002965C2"/>
    <w:rsid w:val="00380DE7"/>
    <w:rsid w:val="003C71EA"/>
    <w:rsid w:val="003C738C"/>
    <w:rsid w:val="00483033"/>
    <w:rsid w:val="004931FA"/>
    <w:rsid w:val="004942B8"/>
    <w:rsid w:val="00527B1C"/>
    <w:rsid w:val="00593820"/>
    <w:rsid w:val="005E2865"/>
    <w:rsid w:val="006B357C"/>
    <w:rsid w:val="006B525F"/>
    <w:rsid w:val="00770C82"/>
    <w:rsid w:val="00797645"/>
    <w:rsid w:val="007F5BFC"/>
    <w:rsid w:val="00857C23"/>
    <w:rsid w:val="0086425C"/>
    <w:rsid w:val="00875D49"/>
    <w:rsid w:val="00897F46"/>
    <w:rsid w:val="008B024B"/>
    <w:rsid w:val="008F0DB4"/>
    <w:rsid w:val="00911D6A"/>
    <w:rsid w:val="00A2076C"/>
    <w:rsid w:val="00A837EE"/>
    <w:rsid w:val="00A97CB0"/>
    <w:rsid w:val="00AD65CF"/>
    <w:rsid w:val="00AE690F"/>
    <w:rsid w:val="00AF32C4"/>
    <w:rsid w:val="00B33872"/>
    <w:rsid w:val="00B7414B"/>
    <w:rsid w:val="00B9183A"/>
    <w:rsid w:val="00BD4FF9"/>
    <w:rsid w:val="00BD67AE"/>
    <w:rsid w:val="00BF6ABF"/>
    <w:rsid w:val="00C446D4"/>
    <w:rsid w:val="00C5247F"/>
    <w:rsid w:val="00C630C8"/>
    <w:rsid w:val="00DE4736"/>
    <w:rsid w:val="00E534AC"/>
    <w:rsid w:val="00E62A38"/>
    <w:rsid w:val="00F01AE8"/>
    <w:rsid w:val="00F15633"/>
    <w:rsid w:val="00F277F6"/>
    <w:rsid w:val="00F669E1"/>
    <w:rsid w:val="00F67BE1"/>
    <w:rsid w:val="00F81CAB"/>
    <w:rsid w:val="00FB6C83"/>
    <w:rsid w:val="00FC06D9"/>
    <w:rsid w:val="00F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E8"/>
  </w:style>
  <w:style w:type="paragraph" w:styleId="Footer">
    <w:name w:val="footer"/>
    <w:basedOn w:val="Normal"/>
    <w:link w:val="FooterChar"/>
    <w:uiPriority w:val="99"/>
    <w:unhideWhenUsed/>
    <w:rsid w:val="00F0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E8"/>
  </w:style>
  <w:style w:type="table" w:customStyle="1" w:styleId="FactSheetTables">
    <w:name w:val="Fact Sheet Tables"/>
    <w:basedOn w:val="TableGrid4"/>
    <w:uiPriority w:val="99"/>
    <w:rsid w:val="00F15633"/>
    <w:rPr>
      <w:rFonts w:eastAsia="Times New Roman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bottom w:val="single" w:sz="18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bottom w:val="single" w:sz="4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33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0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D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DB4"/>
    <w:rPr>
      <w:b/>
      <w:bCs/>
    </w:rPr>
  </w:style>
  <w:style w:type="paragraph" w:styleId="ListParagraph">
    <w:name w:val="List Paragraph"/>
    <w:basedOn w:val="Normal"/>
    <w:uiPriority w:val="34"/>
    <w:qFormat/>
    <w:rsid w:val="00C630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07201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E8"/>
  </w:style>
  <w:style w:type="paragraph" w:styleId="Footer">
    <w:name w:val="footer"/>
    <w:basedOn w:val="Normal"/>
    <w:link w:val="FooterChar"/>
    <w:uiPriority w:val="99"/>
    <w:unhideWhenUsed/>
    <w:rsid w:val="00F0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E8"/>
  </w:style>
  <w:style w:type="table" w:customStyle="1" w:styleId="FactSheetTables">
    <w:name w:val="Fact Sheet Tables"/>
    <w:basedOn w:val="TableGrid4"/>
    <w:uiPriority w:val="99"/>
    <w:rsid w:val="00F15633"/>
    <w:rPr>
      <w:rFonts w:eastAsia="Times New Roman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bottom w:val="single" w:sz="18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bottom w:val="single" w:sz="4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33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0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D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DB4"/>
    <w:rPr>
      <w:b/>
      <w:bCs/>
    </w:rPr>
  </w:style>
  <w:style w:type="paragraph" w:styleId="ListParagraph">
    <w:name w:val="List Paragraph"/>
    <w:basedOn w:val="Normal"/>
    <w:uiPriority w:val="34"/>
    <w:qFormat/>
    <w:rsid w:val="00C630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07201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sidenci.webex.com/insidenci/j.php?MTID=m9dc1078c319c1179b4884ad659b47f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8C0D-6847-40B5-A5E6-A05D55B6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Aaron</dc:creator>
  <cp:lastModifiedBy>Franzese, Peter</cp:lastModifiedBy>
  <cp:revision>2</cp:revision>
  <dcterms:created xsi:type="dcterms:W3CDTF">2015-10-21T18:53:00Z</dcterms:created>
  <dcterms:modified xsi:type="dcterms:W3CDTF">2015-10-21T18:53:00Z</dcterms:modified>
</cp:coreProperties>
</file>