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9D78" w14:textId="1F7ADDE0" w:rsidR="000672D5" w:rsidRDefault="000672D5" w:rsidP="00BF7515">
      <w:pPr>
        <w:spacing w:after="0"/>
        <w:jc w:val="center"/>
        <w:rPr>
          <w:rFonts w:ascii="Times New Roman" w:hAnsi="Times New Roman" w:cs="Times New Roman"/>
          <w:b/>
          <w:sz w:val="24"/>
          <w:szCs w:val="24"/>
          <w:lang w:val="en"/>
        </w:rPr>
      </w:pPr>
      <w:r>
        <w:rPr>
          <w:rFonts w:ascii="Times New Roman" w:hAnsi="Times New Roman" w:cs="Times New Roman"/>
          <w:b/>
          <w:sz w:val="24"/>
          <w:szCs w:val="24"/>
          <w:lang w:val="en"/>
        </w:rPr>
        <w:t>California Public Utilities Commission (</w:t>
      </w:r>
      <w:r w:rsidR="007332E4">
        <w:rPr>
          <w:rFonts w:ascii="Times New Roman" w:hAnsi="Times New Roman" w:cs="Times New Roman"/>
          <w:b/>
          <w:sz w:val="24"/>
          <w:szCs w:val="24"/>
          <w:lang w:val="en"/>
        </w:rPr>
        <w:t>Commission</w:t>
      </w:r>
      <w:r>
        <w:rPr>
          <w:rFonts w:ascii="Times New Roman" w:hAnsi="Times New Roman" w:cs="Times New Roman"/>
          <w:b/>
          <w:sz w:val="24"/>
          <w:szCs w:val="24"/>
          <w:lang w:val="en"/>
        </w:rPr>
        <w:t>)</w:t>
      </w:r>
    </w:p>
    <w:p w14:paraId="637EB2F9" w14:textId="77777777" w:rsidR="009E17A7" w:rsidRPr="00750092" w:rsidRDefault="009E17A7" w:rsidP="00BF7515">
      <w:pPr>
        <w:spacing w:after="0"/>
        <w:jc w:val="center"/>
        <w:rPr>
          <w:rFonts w:ascii="Times New Roman" w:hAnsi="Times New Roman" w:cs="Times New Roman"/>
          <w:b/>
          <w:sz w:val="24"/>
          <w:szCs w:val="24"/>
          <w:lang w:val="en"/>
        </w:rPr>
      </w:pPr>
      <w:r w:rsidRPr="00750092">
        <w:rPr>
          <w:rFonts w:ascii="Times New Roman" w:hAnsi="Times New Roman" w:cs="Times New Roman"/>
          <w:b/>
          <w:sz w:val="24"/>
          <w:szCs w:val="24"/>
          <w:lang w:val="en"/>
        </w:rPr>
        <w:t>Broadband Adoption Account</w:t>
      </w:r>
    </w:p>
    <w:p w14:paraId="0EA4E502" w14:textId="23794C0D" w:rsidR="009E17A7" w:rsidRPr="00750092" w:rsidRDefault="00E15154" w:rsidP="00BF7515">
      <w:pPr>
        <w:spacing w:after="0"/>
        <w:jc w:val="center"/>
        <w:rPr>
          <w:rFonts w:ascii="Times New Roman" w:hAnsi="Times New Roman" w:cs="Times New Roman"/>
          <w:b/>
          <w:bCs/>
          <w:sz w:val="24"/>
          <w:szCs w:val="24"/>
          <w:lang w:val="en"/>
        </w:rPr>
      </w:pPr>
      <w:r w:rsidRPr="437F5E85">
        <w:rPr>
          <w:rFonts w:ascii="Times New Roman" w:hAnsi="Times New Roman" w:cs="Times New Roman"/>
          <w:b/>
          <w:bCs/>
          <w:sz w:val="24"/>
          <w:szCs w:val="24"/>
          <w:lang w:val="en"/>
        </w:rPr>
        <w:t xml:space="preserve">Requirements and </w:t>
      </w:r>
      <w:r w:rsidR="00CE7B1E" w:rsidRPr="437F5E85">
        <w:rPr>
          <w:rFonts w:ascii="Times New Roman" w:hAnsi="Times New Roman" w:cs="Times New Roman"/>
          <w:b/>
          <w:bCs/>
          <w:sz w:val="24"/>
          <w:szCs w:val="24"/>
          <w:lang w:val="en"/>
        </w:rPr>
        <w:t>Frequently Asked Questions</w:t>
      </w:r>
    </w:p>
    <w:p w14:paraId="66F23C71" w14:textId="77777777" w:rsidR="009E17A7" w:rsidRPr="00C93902" w:rsidRDefault="009E17A7" w:rsidP="009E17A7">
      <w:pPr>
        <w:pBdr>
          <w:bottom w:val="single" w:sz="12" w:space="0" w:color="BCBCBC"/>
        </w:pBdr>
        <w:shd w:val="clear" w:color="auto" w:fill="FFFFFF"/>
        <w:spacing w:before="100" w:beforeAutospacing="1" w:after="100" w:afterAutospacing="1" w:line="240" w:lineRule="auto"/>
        <w:outlineLvl w:val="2"/>
        <w:rPr>
          <w:rFonts w:ascii="Times New Roman" w:eastAsia="Times New Roman" w:hAnsi="Times New Roman" w:cs="Times New Roman"/>
          <w:sz w:val="24"/>
          <w:szCs w:val="24"/>
          <w:lang w:val="en"/>
        </w:rPr>
      </w:pPr>
    </w:p>
    <w:p w14:paraId="76059629" w14:textId="262E70DE" w:rsidR="00310389" w:rsidRDefault="00310389" w:rsidP="00C643A8">
      <w:pPr>
        <w:pStyle w:val="NormalWeb"/>
        <w:numPr>
          <w:ilvl w:val="0"/>
          <w:numId w:val="1"/>
        </w:numPr>
        <w:shd w:val="clear" w:color="auto" w:fill="FFFFFF"/>
        <w:rPr>
          <w:lang w:val="en"/>
        </w:rPr>
      </w:pPr>
      <w:r>
        <w:rPr>
          <w:lang w:val="en"/>
        </w:rPr>
        <w:t xml:space="preserve">What is the </w:t>
      </w:r>
      <w:r w:rsidR="00B70619">
        <w:rPr>
          <w:lang w:val="en"/>
        </w:rPr>
        <w:t xml:space="preserve">purpose of the </w:t>
      </w:r>
      <w:r>
        <w:rPr>
          <w:lang w:val="en"/>
        </w:rPr>
        <w:t>Broadband Adoption Account?</w:t>
      </w:r>
    </w:p>
    <w:p w14:paraId="4F5E9E4D" w14:textId="2477FD60" w:rsidR="00844497" w:rsidRDefault="00844497" w:rsidP="4B92468F">
      <w:pPr>
        <w:pStyle w:val="ListParagraph"/>
        <w:numPr>
          <w:ilvl w:val="1"/>
          <w:numId w:val="1"/>
        </w:numPr>
        <w:rPr>
          <w:rFonts w:ascii="Times New Roman" w:hAnsi="Times New Roman"/>
          <w:i/>
          <w:iCs/>
          <w:color w:val="000000" w:themeColor="text1"/>
          <w:sz w:val="24"/>
          <w:szCs w:val="24"/>
        </w:rPr>
      </w:pPr>
      <w:r w:rsidRPr="4B92468F">
        <w:rPr>
          <w:rFonts w:ascii="Times New Roman" w:hAnsi="Times New Roman"/>
          <w:i/>
          <w:iCs/>
          <w:color w:val="000000" w:themeColor="text1"/>
          <w:sz w:val="24"/>
          <w:szCs w:val="24"/>
        </w:rPr>
        <w:t xml:space="preserve">The </w:t>
      </w:r>
      <w:r w:rsidR="00B70619" w:rsidRPr="4B92468F">
        <w:rPr>
          <w:rFonts w:ascii="Times New Roman" w:hAnsi="Times New Roman"/>
          <w:i/>
          <w:iCs/>
          <w:color w:val="000000" w:themeColor="text1"/>
          <w:sz w:val="24"/>
          <w:szCs w:val="24"/>
        </w:rPr>
        <w:t xml:space="preserve">Broadband Adoption Account, created via Assembly Bill 1665 in 2017, provides grants to increase publicly available or after-school broadband access and digital inclusion, such as grants for digital literacy training programs and public education to communities with limited broadband adoption.  The </w:t>
      </w:r>
      <w:r w:rsidR="007332E4">
        <w:rPr>
          <w:rFonts w:ascii="Times New Roman" w:hAnsi="Times New Roman"/>
          <w:i/>
          <w:iCs/>
          <w:color w:val="000000" w:themeColor="text1"/>
          <w:sz w:val="24"/>
          <w:szCs w:val="24"/>
        </w:rPr>
        <w:t>Commission</w:t>
      </w:r>
      <w:r w:rsidR="00B70619" w:rsidRPr="4B92468F">
        <w:rPr>
          <w:rFonts w:ascii="Times New Roman" w:hAnsi="Times New Roman"/>
          <w:i/>
          <w:iCs/>
          <w:color w:val="000000" w:themeColor="text1"/>
          <w:sz w:val="24"/>
          <w:szCs w:val="24"/>
        </w:rPr>
        <w:t xml:space="preserve"> is required to give preference to programs and projects in communities with demonstrated low broadband access, including low-income communities, senior citizen communities, and communities facing socioeconomic barriers to broadband adoption.</w:t>
      </w:r>
    </w:p>
    <w:p w14:paraId="7BEBD01A" w14:textId="77777777" w:rsidR="00BC1CD3" w:rsidRPr="00844497" w:rsidRDefault="00BC1CD3" w:rsidP="00BC1CD3">
      <w:pPr>
        <w:pStyle w:val="ListParagraph"/>
        <w:ind w:left="1440"/>
        <w:rPr>
          <w:rFonts w:ascii="Times New Roman" w:hAnsi="Times New Roman"/>
          <w:i/>
          <w:color w:val="000000" w:themeColor="text1"/>
          <w:sz w:val="24"/>
          <w:szCs w:val="24"/>
        </w:rPr>
      </w:pPr>
    </w:p>
    <w:p w14:paraId="209B7760" w14:textId="77777777" w:rsidR="00610DA9" w:rsidRDefault="00610DA9" w:rsidP="00610DA9">
      <w:pPr>
        <w:pStyle w:val="NormalWeb"/>
        <w:numPr>
          <w:ilvl w:val="0"/>
          <w:numId w:val="1"/>
        </w:numPr>
        <w:shd w:val="clear" w:color="auto" w:fill="FFFFFF"/>
        <w:rPr>
          <w:lang w:val="en"/>
        </w:rPr>
      </w:pPr>
      <w:r>
        <w:rPr>
          <w:lang w:val="en"/>
        </w:rPr>
        <w:t>How much funding is available?</w:t>
      </w:r>
    </w:p>
    <w:p w14:paraId="073F5028" w14:textId="24B9C4DF" w:rsidR="00610DA9" w:rsidRPr="00EE4C16" w:rsidRDefault="00E61B2A" w:rsidP="00610DA9">
      <w:pPr>
        <w:pStyle w:val="NormalWeb"/>
        <w:numPr>
          <w:ilvl w:val="0"/>
          <w:numId w:val="4"/>
        </w:numPr>
        <w:shd w:val="clear" w:color="auto" w:fill="FFFFFF"/>
        <w:rPr>
          <w:i/>
          <w:lang w:val="en"/>
        </w:rPr>
      </w:pPr>
      <w:r w:rsidRPr="00E61B2A">
        <w:rPr>
          <w:i/>
          <w:color w:val="000000" w:themeColor="text1"/>
        </w:rPr>
        <w:t>The Broadband Adoption Account is authorized $</w:t>
      </w:r>
      <w:r w:rsidR="00BF7515" w:rsidRPr="00BF7515">
        <w:rPr>
          <w:i/>
          <w:color w:val="000000" w:themeColor="text1"/>
        </w:rPr>
        <w:t xml:space="preserve">20.024 </w:t>
      </w:r>
      <w:r w:rsidRPr="00E61B2A">
        <w:rPr>
          <w:i/>
          <w:color w:val="000000" w:themeColor="text1"/>
        </w:rPr>
        <w:t>million for fiscal year 2022-2023 to provide grants to increase publicly available or after-school broadband access and digital inclusion.</w:t>
      </w:r>
    </w:p>
    <w:p w14:paraId="22F2BD70" w14:textId="77777777" w:rsidR="00F30191" w:rsidRDefault="00F30191" w:rsidP="00C643A8">
      <w:pPr>
        <w:pStyle w:val="NormalWeb"/>
        <w:numPr>
          <w:ilvl w:val="0"/>
          <w:numId w:val="1"/>
        </w:numPr>
        <w:shd w:val="clear" w:color="auto" w:fill="FFFFFF"/>
        <w:rPr>
          <w:lang w:val="en"/>
        </w:rPr>
      </w:pPr>
      <w:r w:rsidRPr="00C93902">
        <w:rPr>
          <w:lang w:val="en"/>
        </w:rPr>
        <w:t xml:space="preserve">Who is </w:t>
      </w:r>
      <w:r w:rsidR="007E4D8F" w:rsidRPr="00C93902">
        <w:rPr>
          <w:lang w:val="en"/>
        </w:rPr>
        <w:t>e</w:t>
      </w:r>
      <w:r w:rsidRPr="00C93902">
        <w:rPr>
          <w:lang w:val="en"/>
        </w:rPr>
        <w:t>ligible</w:t>
      </w:r>
      <w:r w:rsidR="00C643A8">
        <w:rPr>
          <w:lang w:val="en"/>
        </w:rPr>
        <w:t xml:space="preserve"> to apply for funding</w:t>
      </w:r>
      <w:r w:rsidRPr="00C93902">
        <w:rPr>
          <w:lang w:val="en"/>
        </w:rPr>
        <w:t>?</w:t>
      </w:r>
    </w:p>
    <w:p w14:paraId="555A4049" w14:textId="3F9478AA" w:rsidR="005A15DC" w:rsidRDefault="005A15DC" w:rsidP="00CD3EC3">
      <w:pPr>
        <w:pStyle w:val="NormalWeb"/>
        <w:numPr>
          <w:ilvl w:val="1"/>
          <w:numId w:val="1"/>
        </w:numPr>
        <w:shd w:val="clear" w:color="auto" w:fill="FFFFFF"/>
        <w:rPr>
          <w:i/>
          <w:color w:val="000000" w:themeColor="text1"/>
        </w:rPr>
      </w:pPr>
      <w:r>
        <w:rPr>
          <w:i/>
          <w:color w:val="000000" w:themeColor="text1"/>
        </w:rPr>
        <w:t>E</w:t>
      </w:r>
      <w:r w:rsidRPr="005A15DC">
        <w:rPr>
          <w:i/>
          <w:color w:val="000000" w:themeColor="text1"/>
        </w:rPr>
        <w:t xml:space="preserve">ligible applicants </w:t>
      </w:r>
      <w:r>
        <w:rPr>
          <w:i/>
          <w:color w:val="000000" w:themeColor="text1"/>
        </w:rPr>
        <w:t>include</w:t>
      </w:r>
      <w:r w:rsidRPr="005A15DC">
        <w:rPr>
          <w:i/>
          <w:color w:val="000000" w:themeColor="text1"/>
        </w:rPr>
        <w:t xml:space="preserve"> local governments, senior </w:t>
      </w:r>
      <w:r>
        <w:rPr>
          <w:i/>
          <w:color w:val="000000" w:themeColor="text1"/>
        </w:rPr>
        <w:t xml:space="preserve">citizen </w:t>
      </w:r>
      <w:r w:rsidRPr="005A15DC">
        <w:rPr>
          <w:i/>
          <w:color w:val="000000" w:themeColor="text1"/>
        </w:rPr>
        <w:t xml:space="preserve">centers, schools, public libraries, nonprofit organizations, and community-based organizations with programs to increase publicly available or after school broadband access and digital inclusion, such as digital literacy training programs.  </w:t>
      </w:r>
    </w:p>
    <w:p w14:paraId="3999D102" w14:textId="77777777" w:rsidR="001B1CD5" w:rsidRPr="001B1CD5" w:rsidRDefault="001B1CD5" w:rsidP="001B1CD5">
      <w:pPr>
        <w:pStyle w:val="ListParagraph"/>
        <w:ind w:left="1440"/>
        <w:rPr>
          <w:rFonts w:ascii="Times New Roman" w:hAnsi="Times New Roman"/>
          <w:i/>
          <w:color w:val="000000" w:themeColor="text1"/>
          <w:sz w:val="24"/>
          <w:szCs w:val="24"/>
        </w:rPr>
      </w:pPr>
    </w:p>
    <w:p w14:paraId="65B44950" w14:textId="77777777" w:rsidR="003C114B" w:rsidRDefault="003C114B" w:rsidP="0068553D">
      <w:pPr>
        <w:pStyle w:val="NormalWeb"/>
        <w:numPr>
          <w:ilvl w:val="0"/>
          <w:numId w:val="1"/>
        </w:numPr>
        <w:shd w:val="clear" w:color="auto" w:fill="FFFFFF"/>
        <w:rPr>
          <w:lang w:val="en"/>
        </w:rPr>
      </w:pPr>
      <w:r w:rsidRPr="00C93902">
        <w:rPr>
          <w:lang w:val="en"/>
        </w:rPr>
        <w:t xml:space="preserve">What </w:t>
      </w:r>
      <w:r w:rsidR="005138FA" w:rsidRPr="00C93902">
        <w:rPr>
          <w:lang w:val="en"/>
        </w:rPr>
        <w:t>types of projects are</w:t>
      </w:r>
      <w:r w:rsidRPr="00C93902">
        <w:rPr>
          <w:lang w:val="en"/>
        </w:rPr>
        <w:t xml:space="preserve"> eligible for funding?</w:t>
      </w:r>
    </w:p>
    <w:p w14:paraId="506D7DB2" w14:textId="77777777" w:rsidR="003C114B" w:rsidRPr="00E6502E" w:rsidRDefault="003C114B" w:rsidP="003C114B">
      <w:pPr>
        <w:pStyle w:val="NormalWeb"/>
        <w:numPr>
          <w:ilvl w:val="1"/>
          <w:numId w:val="1"/>
        </w:numPr>
        <w:shd w:val="clear" w:color="auto" w:fill="FFFFFF"/>
        <w:rPr>
          <w:color w:val="000000" w:themeColor="text1"/>
        </w:rPr>
      </w:pPr>
      <w:r w:rsidRPr="00B86C5E">
        <w:rPr>
          <w:i/>
          <w:color w:val="000000" w:themeColor="text1"/>
        </w:rPr>
        <w:t xml:space="preserve">Digital </w:t>
      </w:r>
      <w:r w:rsidR="00A34DEC">
        <w:rPr>
          <w:i/>
          <w:color w:val="000000" w:themeColor="text1"/>
        </w:rPr>
        <w:t>Inclusion</w:t>
      </w:r>
      <w:r w:rsidRPr="00B86C5E">
        <w:rPr>
          <w:i/>
          <w:color w:val="000000" w:themeColor="text1"/>
        </w:rPr>
        <w:t xml:space="preserve"> Projects: Digital </w:t>
      </w:r>
      <w:r w:rsidR="00A34DEC">
        <w:rPr>
          <w:i/>
          <w:color w:val="000000" w:themeColor="text1"/>
        </w:rPr>
        <w:t>Inclusion</w:t>
      </w:r>
      <w:r w:rsidR="00610DA9" w:rsidRPr="00B86C5E">
        <w:rPr>
          <w:i/>
          <w:color w:val="000000" w:themeColor="text1"/>
        </w:rPr>
        <w:t xml:space="preserve"> </w:t>
      </w:r>
      <w:r w:rsidRPr="00B86C5E">
        <w:rPr>
          <w:i/>
          <w:color w:val="000000" w:themeColor="text1"/>
        </w:rPr>
        <w:t xml:space="preserve">projects may include digital literacy training programs and public education to communities with limited broadband adoption, including low-income communities, senior </w:t>
      </w:r>
      <w:r w:rsidR="00610DA9">
        <w:rPr>
          <w:i/>
          <w:color w:val="000000" w:themeColor="text1"/>
        </w:rPr>
        <w:t xml:space="preserve">citizen </w:t>
      </w:r>
      <w:r w:rsidRPr="00B86C5E">
        <w:rPr>
          <w:i/>
          <w:color w:val="000000" w:themeColor="text1"/>
        </w:rPr>
        <w:t xml:space="preserve">communities, and communities facing socioeconomic </w:t>
      </w:r>
      <w:r w:rsidR="00173516">
        <w:rPr>
          <w:i/>
          <w:color w:val="000000" w:themeColor="text1"/>
        </w:rPr>
        <w:t>barriers to broadband adoption.</w:t>
      </w:r>
      <w:r w:rsidRPr="00B86C5E">
        <w:rPr>
          <w:i/>
          <w:color w:val="000000" w:themeColor="text1"/>
        </w:rPr>
        <w:t xml:space="preserve">  </w:t>
      </w:r>
    </w:p>
    <w:p w14:paraId="137BE444" w14:textId="59FF4F83" w:rsidR="003C114B" w:rsidRDefault="003C114B" w:rsidP="003C114B">
      <w:pPr>
        <w:pStyle w:val="NormalWeb"/>
        <w:numPr>
          <w:ilvl w:val="1"/>
          <w:numId w:val="1"/>
        </w:numPr>
        <w:shd w:val="clear" w:color="auto" w:fill="FFFFFF"/>
        <w:rPr>
          <w:i/>
          <w:color w:val="000000" w:themeColor="text1"/>
        </w:rPr>
      </w:pPr>
      <w:r w:rsidRPr="00E6502E">
        <w:rPr>
          <w:i/>
          <w:color w:val="000000" w:themeColor="text1"/>
        </w:rPr>
        <w:t>Broadband Access Project</w:t>
      </w:r>
      <w:r>
        <w:rPr>
          <w:i/>
          <w:color w:val="000000" w:themeColor="text1"/>
        </w:rPr>
        <w:t xml:space="preserve">s: </w:t>
      </w:r>
      <w:r w:rsidRPr="00E6502E">
        <w:rPr>
          <w:i/>
          <w:color w:val="000000" w:themeColor="text1"/>
        </w:rPr>
        <w:t xml:space="preserve">Broadband Access projects may include projects that </w:t>
      </w:r>
      <w:r>
        <w:rPr>
          <w:i/>
          <w:color w:val="000000" w:themeColor="text1"/>
        </w:rPr>
        <w:t xml:space="preserve">increase or </w:t>
      </w:r>
      <w:r w:rsidRPr="00E6502E">
        <w:rPr>
          <w:i/>
          <w:color w:val="000000" w:themeColor="text1"/>
        </w:rPr>
        <w:t>provide free broadband access in community training rooms or other public space</w:t>
      </w:r>
      <w:r w:rsidR="00610DA9">
        <w:rPr>
          <w:i/>
          <w:color w:val="000000" w:themeColor="text1"/>
        </w:rPr>
        <w:t>s</w:t>
      </w:r>
      <w:r w:rsidRPr="00E6502E">
        <w:rPr>
          <w:i/>
          <w:color w:val="000000" w:themeColor="text1"/>
        </w:rPr>
        <w:t xml:space="preserve">, such as local government centers, senior </w:t>
      </w:r>
      <w:r w:rsidR="00610DA9">
        <w:rPr>
          <w:i/>
          <w:color w:val="000000" w:themeColor="text1"/>
        </w:rPr>
        <w:t xml:space="preserve">citizen </w:t>
      </w:r>
      <w:r w:rsidRPr="00E6502E">
        <w:rPr>
          <w:i/>
          <w:color w:val="000000" w:themeColor="text1"/>
        </w:rPr>
        <w:t xml:space="preserve">centers, schools, public libraries, nonprofit organizations, and community-based organizations.  </w:t>
      </w:r>
      <w:r w:rsidR="001B1CD5" w:rsidRPr="00E03744">
        <w:rPr>
          <w:i/>
          <w:color w:val="000000" w:themeColor="text1"/>
        </w:rPr>
        <w:t>The Commission may also fund community outreach, such as analysis, comparison of Internet plans within the community, and call centers that will increase broadband access and adoption.</w:t>
      </w:r>
    </w:p>
    <w:p w14:paraId="148D1979" w14:textId="77777777" w:rsidR="001B1CD5" w:rsidRPr="00C93902" w:rsidRDefault="001B1CD5" w:rsidP="001B1CD5">
      <w:pPr>
        <w:pStyle w:val="NormalWeb"/>
        <w:numPr>
          <w:ilvl w:val="0"/>
          <w:numId w:val="1"/>
        </w:numPr>
        <w:shd w:val="clear" w:color="auto" w:fill="FFFFFF"/>
        <w:rPr>
          <w:lang w:val="en"/>
        </w:rPr>
      </w:pPr>
      <w:r>
        <w:rPr>
          <w:lang w:val="en"/>
        </w:rPr>
        <w:t>How will projects be evaluated?</w:t>
      </w:r>
    </w:p>
    <w:p w14:paraId="2C2C379D" w14:textId="77777777" w:rsidR="00925C23" w:rsidRPr="00925C23" w:rsidRDefault="001B1CD5" w:rsidP="001B1CD5">
      <w:pPr>
        <w:pStyle w:val="NormalWeb"/>
        <w:numPr>
          <w:ilvl w:val="0"/>
          <w:numId w:val="15"/>
        </w:numPr>
        <w:shd w:val="clear" w:color="auto" w:fill="FFFFFF"/>
        <w:rPr>
          <w:i/>
          <w:lang w:val="en"/>
        </w:rPr>
      </w:pPr>
      <w:r>
        <w:rPr>
          <w:i/>
          <w:iCs/>
        </w:rPr>
        <w:t xml:space="preserve">Applications </w:t>
      </w:r>
      <w:r w:rsidRPr="00FF73BF">
        <w:rPr>
          <w:i/>
          <w:iCs/>
        </w:rPr>
        <w:t xml:space="preserve">will be reviewed and evaluated for completeness and overall quality. </w:t>
      </w:r>
      <w:r>
        <w:rPr>
          <w:i/>
          <w:iCs/>
        </w:rPr>
        <w:t xml:space="preserve"> </w:t>
      </w:r>
    </w:p>
    <w:p w14:paraId="329A4D13" w14:textId="0F53C477" w:rsidR="001B1CD5" w:rsidRPr="00925C23" w:rsidRDefault="00925C23" w:rsidP="001B1CD5">
      <w:pPr>
        <w:pStyle w:val="NormalWeb"/>
        <w:numPr>
          <w:ilvl w:val="0"/>
          <w:numId w:val="15"/>
        </w:numPr>
        <w:shd w:val="clear" w:color="auto" w:fill="FFFFFF"/>
        <w:rPr>
          <w:i/>
          <w:lang w:val="en"/>
        </w:rPr>
      </w:pPr>
      <w:r>
        <w:rPr>
          <w:i/>
          <w:iCs/>
        </w:rPr>
        <w:lastRenderedPageBreak/>
        <w:t>Applications may be rejected for the following reasons:</w:t>
      </w:r>
    </w:p>
    <w:p w14:paraId="1BA4BFEE" w14:textId="46E5BE7D" w:rsidR="00925C23" w:rsidRPr="00CD3EC3" w:rsidRDefault="00925C23" w:rsidP="00CD3EC3">
      <w:pPr>
        <w:pStyle w:val="NormalWeb"/>
        <w:numPr>
          <w:ilvl w:val="2"/>
          <w:numId w:val="1"/>
        </w:numPr>
        <w:shd w:val="clear" w:color="auto" w:fill="FFFFFF"/>
        <w:rPr>
          <w:i/>
          <w:color w:val="000000" w:themeColor="text1"/>
        </w:rPr>
      </w:pPr>
      <w:r w:rsidRPr="00CD3EC3">
        <w:rPr>
          <w:i/>
          <w:color w:val="000000" w:themeColor="text1"/>
        </w:rPr>
        <w:t>The applicant submitted an incomplete application and did not respond to inquiries from Staff regarding missing information.</w:t>
      </w:r>
    </w:p>
    <w:p w14:paraId="76C99E18" w14:textId="65A93825" w:rsidR="00925C23" w:rsidRPr="00CD3EC3" w:rsidRDefault="00CD3EC3" w:rsidP="2790AC49">
      <w:pPr>
        <w:pStyle w:val="NormalWeb"/>
        <w:numPr>
          <w:ilvl w:val="2"/>
          <w:numId w:val="1"/>
        </w:numPr>
        <w:shd w:val="clear" w:color="auto" w:fill="FFFFFF" w:themeFill="background1"/>
        <w:rPr>
          <w:i/>
          <w:iCs/>
          <w:color w:val="000000" w:themeColor="text1"/>
        </w:rPr>
      </w:pPr>
      <w:r w:rsidRPr="2790AC49">
        <w:rPr>
          <w:i/>
          <w:iCs/>
          <w:color w:val="000000" w:themeColor="text1"/>
        </w:rPr>
        <w:t>The applicant is a non-profit organization that that failed to provide documentation showing good standing with the U.S. Internal Revenue Service and the California Secretary of State.</w:t>
      </w:r>
    </w:p>
    <w:p w14:paraId="27DBDA81" w14:textId="1C4D37EA" w:rsidR="00CD3EC3" w:rsidRPr="00CD3EC3" w:rsidRDefault="00CD3EC3" w:rsidP="00CD3EC3">
      <w:pPr>
        <w:pStyle w:val="NormalWeb"/>
        <w:numPr>
          <w:ilvl w:val="2"/>
          <w:numId w:val="1"/>
        </w:numPr>
        <w:shd w:val="clear" w:color="auto" w:fill="FFFFFF"/>
        <w:rPr>
          <w:i/>
          <w:color w:val="000000" w:themeColor="text1"/>
        </w:rPr>
      </w:pPr>
      <w:r w:rsidRPr="00CD3EC3">
        <w:rPr>
          <w:i/>
          <w:color w:val="000000" w:themeColor="text1"/>
        </w:rPr>
        <w:t>The applicant has previously had a Commission grant award rescinded for violation of Commission or program rules.</w:t>
      </w:r>
    </w:p>
    <w:p w14:paraId="5966D8BC" w14:textId="6B019189" w:rsidR="00CD3EC3" w:rsidRPr="00CD3EC3" w:rsidRDefault="00CD3EC3" w:rsidP="00CD3EC3">
      <w:pPr>
        <w:pStyle w:val="NormalWeb"/>
        <w:numPr>
          <w:ilvl w:val="2"/>
          <w:numId w:val="1"/>
        </w:numPr>
        <w:shd w:val="clear" w:color="auto" w:fill="FFFFFF"/>
        <w:rPr>
          <w:i/>
          <w:color w:val="000000" w:themeColor="text1"/>
        </w:rPr>
      </w:pPr>
      <w:r w:rsidRPr="00CD3EC3">
        <w:rPr>
          <w:i/>
          <w:color w:val="000000" w:themeColor="text1"/>
        </w:rPr>
        <w:t>The applicant has made false statements to the Commission or to the Federal Communications Commission.</w:t>
      </w:r>
    </w:p>
    <w:p w14:paraId="12F0CCF0" w14:textId="77777777" w:rsidR="003C114B" w:rsidRDefault="003C114B" w:rsidP="003C114B">
      <w:pPr>
        <w:pStyle w:val="NormalWeb"/>
        <w:numPr>
          <w:ilvl w:val="0"/>
          <w:numId w:val="1"/>
        </w:numPr>
        <w:shd w:val="clear" w:color="auto" w:fill="FFFFFF"/>
        <w:rPr>
          <w:lang w:val="en"/>
        </w:rPr>
      </w:pPr>
      <w:r w:rsidRPr="00C93902">
        <w:rPr>
          <w:lang w:val="en"/>
        </w:rPr>
        <w:t xml:space="preserve">What </w:t>
      </w:r>
      <w:r w:rsidR="005138FA" w:rsidRPr="00C93902">
        <w:rPr>
          <w:lang w:val="en"/>
        </w:rPr>
        <w:t>types of costs associated with the projects are</w:t>
      </w:r>
      <w:r w:rsidRPr="00C93902">
        <w:rPr>
          <w:lang w:val="en"/>
        </w:rPr>
        <w:t xml:space="preserve"> eligible for reimbursement?</w:t>
      </w:r>
    </w:p>
    <w:p w14:paraId="3AF2CA8F" w14:textId="77777777" w:rsidR="003C114B" w:rsidRPr="00B86C5E" w:rsidRDefault="00C545F8" w:rsidP="003C114B">
      <w:pPr>
        <w:pStyle w:val="NormalWeb"/>
        <w:numPr>
          <w:ilvl w:val="1"/>
          <w:numId w:val="1"/>
        </w:numPr>
        <w:shd w:val="clear" w:color="auto" w:fill="FFFFFF"/>
        <w:rPr>
          <w:i/>
          <w:lang w:val="en"/>
        </w:rPr>
      </w:pPr>
      <w:r>
        <w:rPr>
          <w:i/>
          <w:color w:val="000000" w:themeColor="text1"/>
        </w:rPr>
        <w:t>T</w:t>
      </w:r>
      <w:r w:rsidR="003C114B" w:rsidRPr="00B86C5E">
        <w:rPr>
          <w:i/>
          <w:color w:val="000000" w:themeColor="text1"/>
        </w:rPr>
        <w:t>he following</w:t>
      </w:r>
      <w:r w:rsidRPr="00C545F8">
        <w:rPr>
          <w:i/>
          <w:color w:val="000000" w:themeColor="text1"/>
        </w:rPr>
        <w:t xml:space="preserve"> </w:t>
      </w:r>
      <w:r>
        <w:rPr>
          <w:i/>
          <w:color w:val="000000" w:themeColor="text1"/>
        </w:rPr>
        <w:t>may be eligible for</w:t>
      </w:r>
      <w:r w:rsidRPr="00C545F8">
        <w:rPr>
          <w:i/>
          <w:color w:val="000000" w:themeColor="text1"/>
        </w:rPr>
        <w:t xml:space="preserve"> </w:t>
      </w:r>
      <w:r>
        <w:rPr>
          <w:i/>
          <w:color w:val="000000" w:themeColor="text1"/>
        </w:rPr>
        <w:t xml:space="preserve">project </w:t>
      </w:r>
      <w:r w:rsidRPr="00B86C5E">
        <w:rPr>
          <w:i/>
          <w:color w:val="000000" w:themeColor="text1"/>
        </w:rPr>
        <w:t xml:space="preserve">cost </w:t>
      </w:r>
      <w:r>
        <w:rPr>
          <w:i/>
          <w:color w:val="000000" w:themeColor="text1"/>
        </w:rPr>
        <w:t>reimbursement</w:t>
      </w:r>
      <w:r w:rsidR="003C114B" w:rsidRPr="00B86C5E">
        <w:rPr>
          <w:i/>
          <w:color w:val="000000" w:themeColor="text1"/>
        </w:rPr>
        <w:t xml:space="preserve">: </w:t>
      </w:r>
    </w:p>
    <w:p w14:paraId="0F51B2B5" w14:textId="484544AC" w:rsidR="003C114B" w:rsidRPr="004A0DB2" w:rsidRDefault="003C114B" w:rsidP="003C114B">
      <w:pPr>
        <w:pStyle w:val="NormalWeb"/>
        <w:numPr>
          <w:ilvl w:val="2"/>
          <w:numId w:val="1"/>
        </w:numPr>
        <w:shd w:val="clear" w:color="auto" w:fill="FFFFFF"/>
        <w:rPr>
          <w:i/>
          <w:lang w:val="en"/>
        </w:rPr>
      </w:pPr>
      <w:r w:rsidRPr="004A0DB2">
        <w:rPr>
          <w:i/>
          <w:color w:val="000000" w:themeColor="text1"/>
        </w:rPr>
        <w:t>Education and outreach efforts (including travel, up to 10% of grant amount) and materials</w:t>
      </w:r>
      <w:r w:rsidR="00CE7B1E">
        <w:rPr>
          <w:i/>
          <w:color w:val="000000" w:themeColor="text1"/>
        </w:rPr>
        <w:t>.</w:t>
      </w:r>
      <w:r w:rsidRPr="004A0DB2">
        <w:rPr>
          <w:i/>
          <w:color w:val="000000" w:themeColor="text1"/>
        </w:rPr>
        <w:t xml:space="preserve"> </w:t>
      </w:r>
    </w:p>
    <w:p w14:paraId="3F9BD93E" w14:textId="421C2B06" w:rsidR="00C545F8" w:rsidRPr="006A031A" w:rsidRDefault="00C545F8" w:rsidP="54CB1C04">
      <w:pPr>
        <w:pStyle w:val="NormalWeb"/>
        <w:numPr>
          <w:ilvl w:val="2"/>
          <w:numId w:val="1"/>
        </w:numPr>
        <w:shd w:val="clear" w:color="auto" w:fill="FFFFFF" w:themeFill="background1"/>
        <w:rPr>
          <w:rFonts w:asciiTheme="minorHAnsi" w:eastAsiaTheme="minorEastAsia" w:hAnsiTheme="minorHAnsi" w:cstheme="minorBidi"/>
          <w:i/>
          <w:iCs/>
          <w:color w:val="000000" w:themeColor="text1"/>
        </w:rPr>
      </w:pPr>
      <w:r w:rsidRPr="006A031A">
        <w:rPr>
          <w:i/>
          <w:iCs/>
          <w:color w:val="000000" w:themeColor="text1"/>
        </w:rPr>
        <w:t xml:space="preserve">Acceptable computing devices </w:t>
      </w:r>
      <w:r w:rsidR="54CB1C04" w:rsidRPr="006A031A">
        <w:rPr>
          <w:i/>
          <w:iCs/>
        </w:rPr>
        <w:t>(does not include smartphones) within budgetary limits and inclusive of computer.</w:t>
      </w:r>
    </w:p>
    <w:p w14:paraId="4C418CAA" w14:textId="0BB4D684" w:rsidR="00C545F8" w:rsidRDefault="00C545F8" w:rsidP="54CB1C04">
      <w:pPr>
        <w:pStyle w:val="NormalWeb"/>
        <w:numPr>
          <w:ilvl w:val="2"/>
          <w:numId w:val="1"/>
        </w:numPr>
        <w:shd w:val="clear" w:color="auto" w:fill="FFFFFF" w:themeFill="background1"/>
        <w:rPr>
          <w:i/>
          <w:iCs/>
          <w:color w:val="000000" w:themeColor="text1"/>
        </w:rPr>
      </w:pPr>
      <w:r w:rsidRPr="54CB1C04">
        <w:rPr>
          <w:i/>
          <w:iCs/>
          <w:color w:val="000000" w:themeColor="text1"/>
        </w:rPr>
        <w:t>Software</w:t>
      </w:r>
      <w:r w:rsidR="0031058B" w:rsidRPr="54CB1C04">
        <w:rPr>
          <w:i/>
          <w:iCs/>
          <w:color w:val="000000" w:themeColor="text1"/>
        </w:rPr>
        <w:t xml:space="preserve"> </w:t>
      </w:r>
      <w:r w:rsidR="00203382" w:rsidRPr="54CB1C04">
        <w:rPr>
          <w:i/>
          <w:iCs/>
          <w:color w:val="000000" w:themeColor="text1"/>
        </w:rPr>
        <w:t>(</w:t>
      </w:r>
      <w:r w:rsidR="0031058B" w:rsidRPr="54CB1C04">
        <w:rPr>
          <w:i/>
          <w:iCs/>
          <w:color w:val="000000" w:themeColor="text1"/>
        </w:rPr>
        <w:t>inclusive of licensing for online platforms</w:t>
      </w:r>
      <w:r w:rsidR="00203382" w:rsidRPr="54CB1C04">
        <w:rPr>
          <w:i/>
          <w:iCs/>
          <w:color w:val="000000" w:themeColor="text1"/>
        </w:rPr>
        <w:t>)</w:t>
      </w:r>
      <w:r w:rsidR="00CE7B1E" w:rsidRPr="54CB1C04">
        <w:rPr>
          <w:i/>
          <w:iCs/>
          <w:color w:val="000000" w:themeColor="text1"/>
        </w:rPr>
        <w:t>.</w:t>
      </w:r>
    </w:p>
    <w:p w14:paraId="09BE3778" w14:textId="308A752B" w:rsidR="003C114B" w:rsidRPr="004A0DB2" w:rsidRDefault="003C114B" w:rsidP="54CB1C04">
      <w:pPr>
        <w:pStyle w:val="NormalWeb"/>
        <w:numPr>
          <w:ilvl w:val="2"/>
          <w:numId w:val="1"/>
        </w:numPr>
        <w:shd w:val="clear" w:color="auto" w:fill="FFFFFF"/>
        <w:rPr>
          <w:i/>
          <w:iCs/>
          <w:color w:val="000000" w:themeColor="text1"/>
        </w:rPr>
      </w:pPr>
      <w:r w:rsidRPr="54CB1C04">
        <w:rPr>
          <w:i/>
          <w:iCs/>
          <w:color w:val="000000" w:themeColor="text1"/>
        </w:rPr>
        <w:t>Printers</w:t>
      </w:r>
      <w:r w:rsidR="00CE7B1E" w:rsidRPr="54CB1C04">
        <w:rPr>
          <w:i/>
          <w:iCs/>
          <w:color w:val="000000" w:themeColor="text1"/>
        </w:rPr>
        <w:t>.</w:t>
      </w:r>
      <w:r w:rsidRPr="54CB1C04">
        <w:rPr>
          <w:i/>
          <w:iCs/>
          <w:color w:val="000000" w:themeColor="text1"/>
        </w:rPr>
        <w:t xml:space="preserve"> </w:t>
      </w:r>
    </w:p>
    <w:p w14:paraId="6162A4AC" w14:textId="6B4BBFB7" w:rsidR="003C114B" w:rsidRDefault="004A533D" w:rsidP="54CB1C04">
      <w:pPr>
        <w:pStyle w:val="NormalWeb"/>
        <w:numPr>
          <w:ilvl w:val="2"/>
          <w:numId w:val="1"/>
        </w:numPr>
        <w:shd w:val="clear" w:color="auto" w:fill="FFFFFF"/>
        <w:rPr>
          <w:i/>
          <w:iCs/>
          <w:color w:val="000000" w:themeColor="text1"/>
        </w:rPr>
      </w:pPr>
      <w:r w:rsidRPr="54CB1C04">
        <w:rPr>
          <w:i/>
          <w:iCs/>
          <w:color w:val="000000" w:themeColor="text1"/>
        </w:rPr>
        <w:t>Network routers, switches, modems, and cabling deployed for the purpose of establishing a space for broadband access or digital literacy that connects to an existing in-building broadband network such as Wi-Fi (inside network)</w:t>
      </w:r>
      <w:r w:rsidR="00CE7B1E" w:rsidRPr="54CB1C04">
        <w:rPr>
          <w:i/>
          <w:iCs/>
          <w:color w:val="000000" w:themeColor="text1"/>
        </w:rPr>
        <w:t>.</w:t>
      </w:r>
    </w:p>
    <w:p w14:paraId="2DD9B94C" w14:textId="1FCB32D4" w:rsidR="004A533D" w:rsidRPr="004A533D" w:rsidRDefault="004A533D" w:rsidP="54CB1C04">
      <w:pPr>
        <w:pStyle w:val="NormalWeb"/>
        <w:numPr>
          <w:ilvl w:val="2"/>
          <w:numId w:val="1"/>
        </w:numPr>
        <w:shd w:val="clear" w:color="auto" w:fill="FFFFFF"/>
        <w:rPr>
          <w:i/>
          <w:iCs/>
          <w:color w:val="000000" w:themeColor="text1"/>
        </w:rPr>
      </w:pPr>
      <w:r w:rsidRPr="54CB1C04">
        <w:rPr>
          <w:i/>
          <w:iCs/>
          <w:color w:val="000000" w:themeColor="text1"/>
        </w:rPr>
        <w:t>Mobile hotspots, only when no inside network is available</w:t>
      </w:r>
      <w:r w:rsidR="00CE7B1E" w:rsidRPr="54CB1C04">
        <w:rPr>
          <w:i/>
          <w:iCs/>
          <w:color w:val="000000" w:themeColor="text1"/>
        </w:rPr>
        <w:t>.</w:t>
      </w:r>
    </w:p>
    <w:p w14:paraId="20544F86" w14:textId="610C3995" w:rsidR="003C114B" w:rsidRPr="004A0DB2" w:rsidRDefault="003C114B" w:rsidP="54CB1C04">
      <w:pPr>
        <w:pStyle w:val="NormalWeb"/>
        <w:numPr>
          <w:ilvl w:val="2"/>
          <w:numId w:val="1"/>
        </w:numPr>
        <w:shd w:val="clear" w:color="auto" w:fill="FFFFFF"/>
        <w:rPr>
          <w:i/>
          <w:iCs/>
          <w:color w:val="000000" w:themeColor="text1"/>
        </w:rPr>
      </w:pPr>
      <w:r w:rsidRPr="54CB1C04">
        <w:rPr>
          <w:i/>
          <w:iCs/>
          <w:color w:val="000000" w:themeColor="text1"/>
        </w:rPr>
        <w:t>Provision of technical support for the installation of equipment subsidized through this program</w:t>
      </w:r>
      <w:r w:rsidR="00C545F8" w:rsidRPr="54CB1C04">
        <w:rPr>
          <w:i/>
          <w:iCs/>
          <w:color w:val="000000" w:themeColor="text1"/>
        </w:rPr>
        <w:t xml:space="preserve"> or technical support for the equipment for the duration of the project subsidized through this program</w:t>
      </w:r>
      <w:r w:rsidR="00CE7B1E" w:rsidRPr="54CB1C04">
        <w:rPr>
          <w:i/>
          <w:iCs/>
          <w:color w:val="000000" w:themeColor="text1"/>
        </w:rPr>
        <w:t>.</w:t>
      </w:r>
      <w:r w:rsidRPr="54CB1C04">
        <w:rPr>
          <w:i/>
          <w:iCs/>
          <w:color w:val="000000" w:themeColor="text1"/>
        </w:rPr>
        <w:t xml:space="preserve"> </w:t>
      </w:r>
    </w:p>
    <w:p w14:paraId="5D7B96E1" w14:textId="7493795E" w:rsidR="003C114B" w:rsidRPr="004A0DB2" w:rsidRDefault="003C114B" w:rsidP="54CB1C04">
      <w:pPr>
        <w:pStyle w:val="NormalWeb"/>
        <w:numPr>
          <w:ilvl w:val="2"/>
          <w:numId w:val="1"/>
        </w:numPr>
        <w:shd w:val="clear" w:color="auto" w:fill="FFFFFF"/>
        <w:rPr>
          <w:i/>
          <w:iCs/>
          <w:color w:val="000000" w:themeColor="text1"/>
        </w:rPr>
      </w:pPr>
      <w:r w:rsidRPr="54CB1C04">
        <w:rPr>
          <w:i/>
          <w:iCs/>
          <w:color w:val="000000" w:themeColor="text1"/>
        </w:rPr>
        <w:t xml:space="preserve">Desks and chairs to furnish a designated space for </w:t>
      </w:r>
      <w:r w:rsidR="00C545F8" w:rsidRPr="54CB1C04">
        <w:rPr>
          <w:i/>
          <w:iCs/>
          <w:color w:val="000000" w:themeColor="text1"/>
        </w:rPr>
        <w:t>training/access</w:t>
      </w:r>
      <w:r w:rsidR="00CE7B1E" w:rsidRPr="54CB1C04">
        <w:rPr>
          <w:i/>
          <w:iCs/>
          <w:color w:val="000000" w:themeColor="text1"/>
        </w:rPr>
        <w:t>.</w:t>
      </w:r>
      <w:r w:rsidRPr="54CB1C04">
        <w:rPr>
          <w:i/>
          <w:iCs/>
          <w:color w:val="000000" w:themeColor="text1"/>
        </w:rPr>
        <w:t xml:space="preserve"> </w:t>
      </w:r>
    </w:p>
    <w:p w14:paraId="69580F5A" w14:textId="37523DEE" w:rsidR="00A37CC3" w:rsidRDefault="003C114B" w:rsidP="54CB1C04">
      <w:pPr>
        <w:pStyle w:val="NormalWeb"/>
        <w:numPr>
          <w:ilvl w:val="2"/>
          <w:numId w:val="1"/>
        </w:numPr>
        <w:shd w:val="clear" w:color="auto" w:fill="FFFFFF"/>
        <w:rPr>
          <w:i/>
          <w:iCs/>
          <w:color w:val="000000" w:themeColor="text1"/>
        </w:rPr>
      </w:pPr>
      <w:r w:rsidRPr="54CB1C04">
        <w:rPr>
          <w:i/>
          <w:iCs/>
          <w:color w:val="000000" w:themeColor="text1"/>
        </w:rPr>
        <w:t>Gathering, preparing</w:t>
      </w:r>
      <w:r w:rsidR="00C545F8" w:rsidRPr="54CB1C04">
        <w:rPr>
          <w:i/>
          <w:iCs/>
          <w:color w:val="000000" w:themeColor="text1"/>
        </w:rPr>
        <w:t>, creating</w:t>
      </w:r>
      <w:r w:rsidRPr="54CB1C04">
        <w:rPr>
          <w:i/>
          <w:iCs/>
          <w:color w:val="000000" w:themeColor="text1"/>
        </w:rPr>
        <w:t xml:space="preserve"> and distributing digital literacy curriculum</w:t>
      </w:r>
      <w:r w:rsidR="00055543" w:rsidRPr="54CB1C04">
        <w:rPr>
          <w:i/>
          <w:iCs/>
          <w:color w:val="000000" w:themeColor="text1"/>
        </w:rPr>
        <w:t xml:space="preserve"> (for Digital Literacy projects)</w:t>
      </w:r>
      <w:r w:rsidR="00657E1B" w:rsidRPr="54CB1C04">
        <w:rPr>
          <w:i/>
          <w:iCs/>
          <w:color w:val="000000" w:themeColor="text1"/>
        </w:rPr>
        <w:t>.</w:t>
      </w:r>
      <w:r w:rsidRPr="54CB1C04">
        <w:rPr>
          <w:i/>
          <w:iCs/>
          <w:color w:val="000000" w:themeColor="text1"/>
        </w:rPr>
        <w:t xml:space="preserve"> </w:t>
      </w:r>
    </w:p>
    <w:p w14:paraId="7251D2D3" w14:textId="589218A7" w:rsidR="003C114B" w:rsidRDefault="00EE4C16" w:rsidP="54CB1C04">
      <w:pPr>
        <w:pStyle w:val="NormalWeb"/>
        <w:numPr>
          <w:ilvl w:val="2"/>
          <w:numId w:val="1"/>
        </w:numPr>
        <w:shd w:val="clear" w:color="auto" w:fill="FFFFFF"/>
        <w:rPr>
          <w:i/>
          <w:iCs/>
          <w:color w:val="000000" w:themeColor="text1"/>
        </w:rPr>
      </w:pPr>
      <w:r w:rsidRPr="54CB1C04">
        <w:rPr>
          <w:i/>
          <w:iCs/>
          <w:color w:val="000000" w:themeColor="text1"/>
        </w:rPr>
        <w:t>D</w:t>
      </w:r>
      <w:r w:rsidR="003C114B" w:rsidRPr="54CB1C04">
        <w:rPr>
          <w:i/>
          <w:iCs/>
          <w:color w:val="000000" w:themeColor="text1"/>
        </w:rPr>
        <w:t>igital literacy instructors</w:t>
      </w:r>
      <w:r w:rsidR="00C545F8" w:rsidRPr="54CB1C04">
        <w:rPr>
          <w:i/>
          <w:iCs/>
          <w:color w:val="000000" w:themeColor="text1"/>
        </w:rPr>
        <w:t xml:space="preserve"> or s</w:t>
      </w:r>
      <w:r w:rsidR="00A37CC3" w:rsidRPr="54CB1C04">
        <w:rPr>
          <w:i/>
          <w:iCs/>
          <w:color w:val="000000" w:themeColor="text1"/>
        </w:rPr>
        <w:t>taffing for monitoring the designated space or staffing for call centers</w:t>
      </w:r>
      <w:r w:rsidR="00657E1B" w:rsidRPr="54CB1C04">
        <w:rPr>
          <w:i/>
          <w:iCs/>
          <w:color w:val="000000" w:themeColor="text1"/>
        </w:rPr>
        <w:t>.</w:t>
      </w:r>
    </w:p>
    <w:p w14:paraId="209E514E" w14:textId="6739BAA5" w:rsidR="004A533D" w:rsidRDefault="004A533D" w:rsidP="54CB1C04">
      <w:pPr>
        <w:pStyle w:val="NormalWeb"/>
        <w:numPr>
          <w:ilvl w:val="2"/>
          <w:numId w:val="1"/>
        </w:numPr>
        <w:shd w:val="clear" w:color="auto" w:fill="FFFFFF"/>
        <w:rPr>
          <w:i/>
          <w:iCs/>
          <w:color w:val="000000" w:themeColor="text1"/>
        </w:rPr>
      </w:pPr>
      <w:r w:rsidRPr="54CB1C04">
        <w:rPr>
          <w:i/>
          <w:iCs/>
          <w:color w:val="000000" w:themeColor="text1"/>
        </w:rPr>
        <w:t>Reimbursement for administrative costs is limited to administrative costs representing 15% or less of the overall proposed budget.</w:t>
      </w:r>
    </w:p>
    <w:p w14:paraId="1E34394A" w14:textId="16586FD2" w:rsidR="004A533D" w:rsidRPr="00C545F8" w:rsidRDefault="00924867" w:rsidP="00924867">
      <w:pPr>
        <w:pStyle w:val="NormalWeb"/>
        <w:widowControl w:val="0"/>
        <w:shd w:val="clear" w:color="auto" w:fill="FFFFFF"/>
        <w:ind w:left="806"/>
        <w:rPr>
          <w:i/>
          <w:color w:val="000000" w:themeColor="text1"/>
        </w:rPr>
      </w:pPr>
      <w:r>
        <w:rPr>
          <w:i/>
          <w:color w:val="000000" w:themeColor="text1"/>
        </w:rPr>
        <w:t>Note that f</w:t>
      </w:r>
      <w:r w:rsidRPr="00924867">
        <w:rPr>
          <w:i/>
          <w:color w:val="000000" w:themeColor="text1"/>
        </w:rPr>
        <w:t>acility rent, utilities, internet service costs, food costs, lodging, marketing incentives for participation (gift cards, giveaways, etc.), certain classroom supplies and accessories, and other items not listed above are not eligible for reimbursement</w:t>
      </w:r>
      <w:r>
        <w:rPr>
          <w:i/>
          <w:color w:val="000000" w:themeColor="text1"/>
        </w:rPr>
        <w:t>.</w:t>
      </w:r>
    </w:p>
    <w:p w14:paraId="21FAA317" w14:textId="5F6CCB68" w:rsidR="00DF1934" w:rsidRDefault="00DF1934" w:rsidP="00CE322D">
      <w:pPr>
        <w:pStyle w:val="NormalWeb"/>
        <w:numPr>
          <w:ilvl w:val="0"/>
          <w:numId w:val="1"/>
        </w:numPr>
        <w:shd w:val="clear" w:color="auto" w:fill="FFFFFF"/>
        <w:rPr>
          <w:lang w:val="en"/>
        </w:rPr>
      </w:pPr>
      <w:r>
        <w:rPr>
          <w:lang w:val="en"/>
        </w:rPr>
        <w:lastRenderedPageBreak/>
        <w:t>What is the difference between having a project approved through ministerial review as opposed to being approved by a Commission Resolution</w:t>
      </w:r>
      <w:r w:rsidR="00657E1B">
        <w:rPr>
          <w:lang w:val="en"/>
        </w:rPr>
        <w:t xml:space="preserve"> and what are the requirements for a project to be approved by ministerial review</w:t>
      </w:r>
      <w:r>
        <w:rPr>
          <w:lang w:val="en"/>
        </w:rPr>
        <w:t>?</w:t>
      </w:r>
    </w:p>
    <w:p w14:paraId="5B35597A" w14:textId="4A9FDA7A" w:rsidR="00DF1934" w:rsidRDefault="004979B5" w:rsidP="54CB1C04">
      <w:pPr>
        <w:pStyle w:val="NormalWeb"/>
        <w:numPr>
          <w:ilvl w:val="1"/>
          <w:numId w:val="1"/>
        </w:numPr>
        <w:shd w:val="clear" w:color="auto" w:fill="FFFFFF" w:themeFill="background1"/>
        <w:rPr>
          <w:i/>
          <w:iCs/>
          <w:lang w:val="en"/>
        </w:rPr>
      </w:pPr>
      <w:r w:rsidRPr="54CB1C04">
        <w:rPr>
          <w:i/>
          <w:iCs/>
          <w:lang w:val="en"/>
        </w:rPr>
        <w:t xml:space="preserve">A project can be approved by </w:t>
      </w:r>
      <w:r w:rsidR="007332E4">
        <w:rPr>
          <w:i/>
          <w:iCs/>
          <w:lang w:val="en"/>
        </w:rPr>
        <w:t xml:space="preserve">the Communications Division through </w:t>
      </w:r>
      <w:r w:rsidRPr="54CB1C04">
        <w:rPr>
          <w:i/>
          <w:iCs/>
          <w:lang w:val="en"/>
        </w:rPr>
        <w:t>ministerial review if it meets ministerial review criteria.  Applications not meeting ministerial review may be approved through a Commission Resolution</w:t>
      </w:r>
      <w:r w:rsidR="007332E4">
        <w:rPr>
          <w:i/>
          <w:iCs/>
          <w:lang w:val="en"/>
        </w:rPr>
        <w:t xml:space="preserve"> which requires a full Commission review</w:t>
      </w:r>
      <w:r w:rsidRPr="54CB1C04">
        <w:rPr>
          <w:i/>
          <w:iCs/>
          <w:lang w:val="en"/>
        </w:rPr>
        <w:t>.  Ministerial criteria are the following:</w:t>
      </w:r>
    </w:p>
    <w:p w14:paraId="5DF3931C" w14:textId="1ED8B46B" w:rsidR="004979B5" w:rsidRDefault="004979B5" w:rsidP="004979B5">
      <w:pPr>
        <w:pStyle w:val="NormalWeb"/>
        <w:numPr>
          <w:ilvl w:val="2"/>
          <w:numId w:val="1"/>
        </w:numPr>
        <w:shd w:val="clear" w:color="auto" w:fill="FFFFFF"/>
        <w:rPr>
          <w:i/>
          <w:lang w:val="en"/>
        </w:rPr>
      </w:pPr>
      <w:r w:rsidRPr="004979B5">
        <w:rPr>
          <w:i/>
          <w:lang w:val="en"/>
        </w:rPr>
        <w:t>Applicant requests a grant of $150,000 or less</w:t>
      </w:r>
      <w:r w:rsidR="00F71BA0">
        <w:rPr>
          <w:i/>
          <w:lang w:val="en"/>
        </w:rPr>
        <w:t>.</w:t>
      </w:r>
    </w:p>
    <w:p w14:paraId="528201E1" w14:textId="795A0371" w:rsidR="004979B5" w:rsidRDefault="00F71BA0" w:rsidP="437F5E85">
      <w:pPr>
        <w:pStyle w:val="NormalWeb"/>
        <w:numPr>
          <w:ilvl w:val="2"/>
          <w:numId w:val="1"/>
        </w:numPr>
        <w:shd w:val="clear" w:color="auto" w:fill="FFFFFF" w:themeFill="background1"/>
        <w:rPr>
          <w:i/>
          <w:iCs/>
          <w:lang w:val="en"/>
        </w:rPr>
      </w:pPr>
      <w:r w:rsidRPr="437F5E85">
        <w:rPr>
          <w:i/>
          <w:iCs/>
          <w:lang w:val="en"/>
        </w:rPr>
        <w:t>The nonprofit organization has existed for more than one year.</w:t>
      </w:r>
    </w:p>
    <w:p w14:paraId="699F34FB" w14:textId="510580E0" w:rsidR="00F71BA0" w:rsidRDefault="00F71BA0" w:rsidP="00CC1BD0">
      <w:pPr>
        <w:pStyle w:val="NormalWeb"/>
        <w:numPr>
          <w:ilvl w:val="2"/>
          <w:numId w:val="1"/>
        </w:numPr>
        <w:shd w:val="clear" w:color="auto" w:fill="FFFFFF"/>
        <w:rPr>
          <w:i/>
          <w:lang w:val="en"/>
        </w:rPr>
      </w:pPr>
      <w:r w:rsidRPr="00F71BA0">
        <w:rPr>
          <w:i/>
          <w:lang w:val="en"/>
        </w:rPr>
        <w:t xml:space="preserve">The applicant has at least one year’s experience conducting </w:t>
      </w:r>
      <w:r>
        <w:rPr>
          <w:i/>
          <w:lang w:val="en"/>
        </w:rPr>
        <w:t xml:space="preserve">a </w:t>
      </w:r>
      <w:r w:rsidRPr="00F71BA0">
        <w:rPr>
          <w:i/>
          <w:lang w:val="en"/>
        </w:rPr>
        <w:t xml:space="preserve">digital literacy training </w:t>
      </w:r>
      <w:r>
        <w:rPr>
          <w:i/>
          <w:lang w:val="en"/>
        </w:rPr>
        <w:t xml:space="preserve">or broadband access project </w:t>
      </w:r>
      <w:r w:rsidRPr="00F71BA0">
        <w:rPr>
          <w:i/>
          <w:lang w:val="en"/>
        </w:rPr>
        <w:t xml:space="preserve">or if they have completed at least one digital literacy training </w:t>
      </w:r>
      <w:r>
        <w:rPr>
          <w:i/>
          <w:lang w:val="en"/>
        </w:rPr>
        <w:t xml:space="preserve">or broadband access </w:t>
      </w:r>
      <w:r w:rsidRPr="00F71BA0">
        <w:rPr>
          <w:i/>
          <w:lang w:val="en"/>
        </w:rPr>
        <w:t>project</w:t>
      </w:r>
      <w:r>
        <w:rPr>
          <w:i/>
          <w:lang w:val="en"/>
        </w:rPr>
        <w:t>.</w:t>
      </w:r>
    </w:p>
    <w:p w14:paraId="19E95E55" w14:textId="40653F03" w:rsidR="00F71BA0" w:rsidRDefault="00F71BA0" w:rsidP="00CC1BD0">
      <w:pPr>
        <w:pStyle w:val="NormalWeb"/>
        <w:numPr>
          <w:ilvl w:val="2"/>
          <w:numId w:val="1"/>
        </w:numPr>
        <w:shd w:val="clear" w:color="auto" w:fill="FFFFFF"/>
        <w:rPr>
          <w:i/>
          <w:lang w:val="en"/>
        </w:rPr>
      </w:pPr>
      <w:r>
        <w:rPr>
          <w:i/>
          <w:lang w:val="en"/>
        </w:rPr>
        <w:t xml:space="preserve">The applicant has </w:t>
      </w:r>
      <w:r w:rsidRPr="00F71BA0">
        <w:rPr>
          <w:i/>
          <w:lang w:val="en"/>
        </w:rPr>
        <w:t>designated in person or virtual space for trainings or public computer access or provid</w:t>
      </w:r>
      <w:r>
        <w:rPr>
          <w:i/>
          <w:lang w:val="en"/>
        </w:rPr>
        <w:t>ed</w:t>
      </w:r>
      <w:r w:rsidRPr="00F71BA0">
        <w:rPr>
          <w:i/>
          <w:lang w:val="en"/>
        </w:rPr>
        <w:t xml:space="preserve"> detailed information on how such in person or virtual space will be obtained</w:t>
      </w:r>
      <w:r>
        <w:rPr>
          <w:i/>
          <w:lang w:val="en"/>
        </w:rPr>
        <w:t>.</w:t>
      </w:r>
    </w:p>
    <w:p w14:paraId="4470FD8A" w14:textId="37A0192F" w:rsidR="00F71BA0" w:rsidRDefault="00BD2268" w:rsidP="00CC1BD0">
      <w:pPr>
        <w:pStyle w:val="NormalWeb"/>
        <w:numPr>
          <w:ilvl w:val="2"/>
          <w:numId w:val="1"/>
        </w:numPr>
        <w:shd w:val="clear" w:color="auto" w:fill="FFFFFF"/>
        <w:rPr>
          <w:i/>
          <w:lang w:val="en"/>
        </w:rPr>
      </w:pPr>
      <w:r w:rsidRPr="00BD2268">
        <w:rPr>
          <w:i/>
          <w:lang w:val="en"/>
        </w:rPr>
        <w:t>For digital literacy projects, the proposed project costs $477 per participant or less (exclusive of in-person and take-home computer or hot spot reimbursements, if applicable)</w:t>
      </w:r>
      <w:r>
        <w:rPr>
          <w:i/>
          <w:lang w:val="en"/>
        </w:rPr>
        <w:t>.</w:t>
      </w:r>
    </w:p>
    <w:p w14:paraId="13F2F0B3" w14:textId="1AA39977" w:rsidR="00BD2268" w:rsidRDefault="00BD2268" w:rsidP="00CC1BD0">
      <w:pPr>
        <w:pStyle w:val="NormalWeb"/>
        <w:numPr>
          <w:ilvl w:val="2"/>
          <w:numId w:val="1"/>
        </w:numPr>
        <w:shd w:val="clear" w:color="auto" w:fill="FFFFFF"/>
        <w:rPr>
          <w:i/>
          <w:lang w:val="en"/>
        </w:rPr>
      </w:pPr>
      <w:r w:rsidRPr="00BD2268">
        <w:rPr>
          <w:i/>
          <w:lang w:val="en"/>
        </w:rPr>
        <w:t>For broadband access projects, the proposed project costs $42 per participant or less (exclusive of in-person and take-home computer or hot spot reimbursements)</w:t>
      </w:r>
      <w:r>
        <w:rPr>
          <w:i/>
          <w:lang w:val="en"/>
        </w:rPr>
        <w:t>.</w:t>
      </w:r>
    </w:p>
    <w:p w14:paraId="114323C7" w14:textId="2A603167" w:rsidR="00BD2268" w:rsidRDefault="00BD2268" w:rsidP="00CC1BD0">
      <w:pPr>
        <w:pStyle w:val="NormalWeb"/>
        <w:numPr>
          <w:ilvl w:val="2"/>
          <w:numId w:val="1"/>
        </w:numPr>
        <w:shd w:val="clear" w:color="auto" w:fill="FFFFFF"/>
        <w:rPr>
          <w:i/>
          <w:lang w:val="en"/>
        </w:rPr>
      </w:pPr>
      <w:r w:rsidRPr="00BD2268">
        <w:rPr>
          <w:i/>
          <w:lang w:val="en"/>
        </w:rPr>
        <w:t>For call center projects, the proposed project costs $205 per subscription or less</w:t>
      </w:r>
      <w:r>
        <w:rPr>
          <w:i/>
          <w:lang w:val="en"/>
        </w:rPr>
        <w:t>.</w:t>
      </w:r>
    </w:p>
    <w:p w14:paraId="47540699" w14:textId="771E1853" w:rsidR="00BD2268" w:rsidRPr="00F71BA0" w:rsidRDefault="00BD2268" w:rsidP="437F5E85">
      <w:pPr>
        <w:pStyle w:val="NormalWeb"/>
        <w:numPr>
          <w:ilvl w:val="2"/>
          <w:numId w:val="1"/>
        </w:numPr>
        <w:shd w:val="clear" w:color="auto" w:fill="FFFFFF" w:themeFill="background1"/>
        <w:rPr>
          <w:i/>
          <w:iCs/>
          <w:lang w:val="en"/>
        </w:rPr>
      </w:pPr>
      <w:r w:rsidRPr="437F5E85">
        <w:rPr>
          <w:i/>
          <w:iCs/>
          <w:lang w:val="en"/>
        </w:rPr>
        <w:t>The application meets all other Broadband Adoption Account application requirements</w:t>
      </w:r>
    </w:p>
    <w:p w14:paraId="4811CE68" w14:textId="68FF207A" w:rsidR="00CE322D" w:rsidRPr="00EA5AFC" w:rsidRDefault="00CE322D" w:rsidP="00CE322D">
      <w:pPr>
        <w:pStyle w:val="NormalWeb"/>
        <w:numPr>
          <w:ilvl w:val="0"/>
          <w:numId w:val="1"/>
        </w:numPr>
        <w:shd w:val="clear" w:color="auto" w:fill="FFFFFF"/>
        <w:rPr>
          <w:lang w:val="en"/>
        </w:rPr>
      </w:pPr>
      <w:r w:rsidRPr="00EA5AFC">
        <w:rPr>
          <w:lang w:val="en"/>
        </w:rPr>
        <w:t xml:space="preserve">Is there a limit to how much funding </w:t>
      </w:r>
      <w:r w:rsidR="003C114B">
        <w:rPr>
          <w:lang w:val="en"/>
        </w:rPr>
        <w:t xml:space="preserve">an applicant </w:t>
      </w:r>
      <w:r w:rsidRPr="00EA5AFC">
        <w:rPr>
          <w:lang w:val="en"/>
        </w:rPr>
        <w:t>can request</w:t>
      </w:r>
      <w:r w:rsidR="00BD2268">
        <w:rPr>
          <w:lang w:val="en"/>
        </w:rPr>
        <w:t xml:space="preserve"> (outside of ministerial criteria limits stated above)</w:t>
      </w:r>
      <w:r w:rsidRPr="00EA5AFC">
        <w:rPr>
          <w:lang w:val="en"/>
        </w:rPr>
        <w:t xml:space="preserve">? </w:t>
      </w:r>
    </w:p>
    <w:p w14:paraId="1820CC2A" w14:textId="39F83737" w:rsidR="00055543" w:rsidRDefault="00055543" w:rsidP="00CE322D">
      <w:pPr>
        <w:pStyle w:val="NormalWeb"/>
        <w:numPr>
          <w:ilvl w:val="0"/>
          <w:numId w:val="6"/>
        </w:numPr>
        <w:shd w:val="clear" w:color="auto" w:fill="FFFFFF"/>
        <w:rPr>
          <w:i/>
          <w:lang w:val="en"/>
        </w:rPr>
      </w:pPr>
      <w:r>
        <w:rPr>
          <w:i/>
          <w:lang w:val="en"/>
        </w:rPr>
        <w:t>R</w:t>
      </w:r>
      <w:r w:rsidR="00CE322D" w:rsidRPr="00EA5AFC">
        <w:rPr>
          <w:i/>
          <w:lang w:val="en"/>
        </w:rPr>
        <w:t xml:space="preserve">eimbursement for </w:t>
      </w:r>
      <w:r>
        <w:rPr>
          <w:i/>
          <w:lang w:val="en"/>
        </w:rPr>
        <w:t xml:space="preserve">in-classroom </w:t>
      </w:r>
      <w:r w:rsidR="00CE322D" w:rsidRPr="00EA5AFC">
        <w:rPr>
          <w:i/>
          <w:lang w:val="en"/>
        </w:rPr>
        <w:t>computing devices used in community traini</w:t>
      </w:r>
      <w:r w:rsidR="00A37CC3">
        <w:rPr>
          <w:i/>
          <w:lang w:val="en"/>
        </w:rPr>
        <w:t xml:space="preserve">ng rooms or other public spaces </w:t>
      </w:r>
      <w:r w:rsidR="00CE322D" w:rsidRPr="00EA5AFC">
        <w:rPr>
          <w:i/>
          <w:lang w:val="en"/>
        </w:rPr>
        <w:t>is limited to</w:t>
      </w:r>
      <w:r w:rsidR="00BD2268">
        <w:rPr>
          <w:i/>
          <w:lang w:val="en"/>
        </w:rPr>
        <w:t xml:space="preserve"> </w:t>
      </w:r>
      <w:r w:rsidR="00CE322D" w:rsidRPr="00EA5AFC">
        <w:rPr>
          <w:i/>
          <w:lang w:val="en"/>
        </w:rPr>
        <w:t xml:space="preserve">$750 per device, </w:t>
      </w:r>
      <w:r w:rsidR="00BD2268">
        <w:rPr>
          <w:i/>
          <w:lang w:val="en"/>
        </w:rPr>
        <w:t>and a maximum funding of $11,250 per project</w:t>
      </w:r>
      <w:r w:rsidR="00CE322D" w:rsidRPr="00EA5AFC">
        <w:rPr>
          <w:i/>
          <w:lang w:val="en"/>
        </w:rPr>
        <w:t xml:space="preserve">.  </w:t>
      </w:r>
    </w:p>
    <w:p w14:paraId="3D451C3C" w14:textId="6BC42C4C" w:rsidR="00CE322D" w:rsidRDefault="00055543" w:rsidP="54CB1C04">
      <w:pPr>
        <w:pStyle w:val="NormalWeb"/>
        <w:numPr>
          <w:ilvl w:val="0"/>
          <w:numId w:val="6"/>
        </w:numPr>
        <w:shd w:val="clear" w:color="auto" w:fill="FFFFFF" w:themeFill="background1"/>
        <w:rPr>
          <w:i/>
          <w:iCs/>
          <w:lang w:val="en"/>
        </w:rPr>
      </w:pPr>
      <w:bookmarkStart w:id="0" w:name="_Hlk101787641"/>
      <w:r w:rsidRPr="54CB1C04">
        <w:rPr>
          <w:i/>
          <w:iCs/>
          <w:lang w:val="en"/>
        </w:rPr>
        <w:t>Reimbursement</w:t>
      </w:r>
      <w:r w:rsidR="00543BF9" w:rsidRPr="54CB1C04">
        <w:rPr>
          <w:i/>
          <w:iCs/>
          <w:lang w:val="en"/>
        </w:rPr>
        <w:t xml:space="preserve"> for take-home computing devices is limited to only households with incomes at or below the thresholds required to participate in the California Alternative Rates for Energy (CARE), in the Supplemental Nutritional Assistance Program, the National School Lunch Program, or the Women, Infants, and Children Program upon completion of the digital literacy training courses (Digital Literacy Programs only).  Reimbursement for these take-home computing devices is limited to $300 per device (inclusive of computer warranty), is limited to two devices per eligible household, and is limited to $40,000 per project.  Grantees should ensure proof of eligibility in their distribution of computing devices for households.</w:t>
      </w:r>
    </w:p>
    <w:bookmarkEnd w:id="0"/>
    <w:p w14:paraId="44C4A5A6" w14:textId="6428C5F0" w:rsidR="54CB1C04" w:rsidRPr="006A031A" w:rsidRDefault="54CB1C04" w:rsidP="54CB1C04">
      <w:pPr>
        <w:pStyle w:val="NormalWeb"/>
        <w:numPr>
          <w:ilvl w:val="0"/>
          <w:numId w:val="6"/>
        </w:numPr>
        <w:shd w:val="clear" w:color="auto" w:fill="FFFFFF" w:themeFill="background1"/>
        <w:rPr>
          <w:rFonts w:asciiTheme="minorHAnsi" w:eastAsiaTheme="minorEastAsia" w:hAnsiTheme="minorHAnsi" w:cstheme="minorBidi"/>
          <w:i/>
          <w:iCs/>
          <w:lang w:val="en"/>
        </w:rPr>
      </w:pPr>
      <w:r w:rsidRPr="006A031A">
        <w:rPr>
          <w:i/>
          <w:iCs/>
          <w:lang w:val="en"/>
        </w:rPr>
        <w:lastRenderedPageBreak/>
        <w:t>Reimbursement for mobile hotspots used in community training rooms or other public spaces such as local government centers, senior centers, schools, public libraries nonprofit organizations, and community-based organizations or used by individuals in locations where no inside network exists, is limited to a cap of $300 per device and $20,000 per project.</w:t>
      </w:r>
    </w:p>
    <w:p w14:paraId="1F58ED62" w14:textId="77777777" w:rsidR="00D76816" w:rsidRDefault="00D76816" w:rsidP="00D76816">
      <w:pPr>
        <w:pStyle w:val="NormalWeb"/>
        <w:numPr>
          <w:ilvl w:val="0"/>
          <w:numId w:val="1"/>
        </w:numPr>
        <w:shd w:val="clear" w:color="auto" w:fill="FFFFFF"/>
        <w:rPr>
          <w:lang w:val="en"/>
        </w:rPr>
      </w:pPr>
      <w:r>
        <w:rPr>
          <w:lang w:val="en"/>
        </w:rPr>
        <w:t xml:space="preserve">With regards to the </w:t>
      </w:r>
      <w:r w:rsidR="00A37CC3">
        <w:rPr>
          <w:lang w:val="en"/>
        </w:rPr>
        <w:t xml:space="preserve">reimbursement limitation on the </w:t>
      </w:r>
      <w:r>
        <w:rPr>
          <w:lang w:val="en"/>
        </w:rPr>
        <w:t>d</w:t>
      </w:r>
      <w:r w:rsidRPr="00F5589B">
        <w:rPr>
          <w:lang w:val="en"/>
        </w:rPr>
        <w:t>evice cost</w:t>
      </w:r>
      <w:r w:rsidR="004B3601">
        <w:rPr>
          <w:lang w:val="en"/>
        </w:rPr>
        <w:t xml:space="preserve"> and</w:t>
      </w:r>
      <w:r w:rsidRPr="00F5589B">
        <w:rPr>
          <w:lang w:val="en"/>
        </w:rPr>
        <w:t xml:space="preserve"> </w:t>
      </w:r>
      <w:r w:rsidR="00A37CC3">
        <w:rPr>
          <w:lang w:val="en"/>
        </w:rPr>
        <w:t>quantity, c</w:t>
      </w:r>
      <w:r w:rsidRPr="00F5589B">
        <w:rPr>
          <w:lang w:val="en"/>
        </w:rPr>
        <w:t xml:space="preserve">an </w:t>
      </w:r>
      <w:r>
        <w:rPr>
          <w:lang w:val="en"/>
        </w:rPr>
        <w:t xml:space="preserve">the </w:t>
      </w:r>
      <w:r w:rsidRPr="00F5589B">
        <w:rPr>
          <w:lang w:val="en"/>
        </w:rPr>
        <w:t xml:space="preserve">applicant </w:t>
      </w:r>
      <w:r>
        <w:rPr>
          <w:lang w:val="en"/>
        </w:rPr>
        <w:t xml:space="preserve">leverage other funding sources, or use out of pocket funds </w:t>
      </w:r>
      <w:r w:rsidR="00A37CC3">
        <w:rPr>
          <w:lang w:val="en"/>
        </w:rPr>
        <w:t xml:space="preserve">for the </w:t>
      </w:r>
      <w:r>
        <w:rPr>
          <w:lang w:val="en"/>
        </w:rPr>
        <w:t>costs exceeding the limit?</w:t>
      </w:r>
    </w:p>
    <w:p w14:paraId="31979C4C" w14:textId="78D15C36" w:rsidR="00D76816" w:rsidRPr="00083332" w:rsidRDefault="00D76816" w:rsidP="00D76816">
      <w:pPr>
        <w:pStyle w:val="NormalWeb"/>
        <w:numPr>
          <w:ilvl w:val="0"/>
          <w:numId w:val="7"/>
        </w:numPr>
        <w:shd w:val="clear" w:color="auto" w:fill="FFFFFF"/>
        <w:rPr>
          <w:i/>
          <w:lang w:val="en"/>
        </w:rPr>
      </w:pPr>
      <w:r>
        <w:rPr>
          <w:i/>
          <w:lang w:val="en"/>
        </w:rPr>
        <w:t xml:space="preserve">Yes. </w:t>
      </w:r>
      <w:r w:rsidR="004B3601">
        <w:rPr>
          <w:i/>
          <w:lang w:val="en"/>
        </w:rPr>
        <w:t xml:space="preserve">The </w:t>
      </w:r>
      <w:r w:rsidR="007332E4">
        <w:rPr>
          <w:i/>
          <w:lang w:val="en"/>
        </w:rPr>
        <w:t>Commission</w:t>
      </w:r>
      <w:r>
        <w:rPr>
          <w:i/>
          <w:lang w:val="en"/>
        </w:rPr>
        <w:t xml:space="preserve"> </w:t>
      </w:r>
      <w:r w:rsidRPr="00083332">
        <w:rPr>
          <w:i/>
          <w:lang w:val="en"/>
        </w:rPr>
        <w:t>encourage</w:t>
      </w:r>
      <w:r w:rsidR="004B3601">
        <w:rPr>
          <w:i/>
          <w:lang w:val="en"/>
        </w:rPr>
        <w:t>s</w:t>
      </w:r>
      <w:r w:rsidRPr="00083332">
        <w:rPr>
          <w:i/>
          <w:lang w:val="en"/>
        </w:rPr>
        <w:t xml:space="preserve"> applicants to consider the availability of other funding sources for the project,</w:t>
      </w:r>
      <w:r>
        <w:rPr>
          <w:i/>
          <w:lang w:val="en"/>
        </w:rPr>
        <w:t xml:space="preserve"> including</w:t>
      </w:r>
      <w:r w:rsidRPr="00083332">
        <w:rPr>
          <w:i/>
          <w:lang w:val="en"/>
        </w:rPr>
        <w:t xml:space="preserve"> contribution</w:t>
      </w:r>
      <w:r>
        <w:rPr>
          <w:i/>
          <w:lang w:val="en"/>
        </w:rPr>
        <w:t>s</w:t>
      </w:r>
      <w:r w:rsidRPr="00083332">
        <w:rPr>
          <w:i/>
          <w:lang w:val="en"/>
        </w:rPr>
        <w:t xml:space="preserve"> fro</w:t>
      </w:r>
      <w:r>
        <w:rPr>
          <w:i/>
          <w:lang w:val="en"/>
        </w:rPr>
        <w:t>m broadband service providers</w:t>
      </w:r>
      <w:r w:rsidRPr="00083332">
        <w:rPr>
          <w:i/>
          <w:lang w:val="en"/>
        </w:rPr>
        <w:t xml:space="preserve">, </w:t>
      </w:r>
      <w:r>
        <w:rPr>
          <w:i/>
          <w:lang w:val="en"/>
        </w:rPr>
        <w:t xml:space="preserve">or from </w:t>
      </w:r>
      <w:r w:rsidRPr="00083332">
        <w:rPr>
          <w:i/>
          <w:lang w:val="en"/>
        </w:rPr>
        <w:t>other public or private broadband adoption programs</w:t>
      </w:r>
      <w:r w:rsidR="00173516">
        <w:rPr>
          <w:i/>
          <w:lang w:val="en"/>
        </w:rPr>
        <w:t>.</w:t>
      </w:r>
    </w:p>
    <w:p w14:paraId="2053E554" w14:textId="77777777" w:rsidR="00D76816" w:rsidRPr="00C93902" w:rsidRDefault="00D76816" w:rsidP="00D76816">
      <w:pPr>
        <w:pStyle w:val="NormalWeb"/>
        <w:numPr>
          <w:ilvl w:val="0"/>
          <w:numId w:val="1"/>
        </w:numPr>
        <w:shd w:val="clear" w:color="auto" w:fill="FFFFFF"/>
        <w:rPr>
          <w:lang w:val="en"/>
        </w:rPr>
      </w:pPr>
      <w:r w:rsidRPr="00C93902">
        <w:rPr>
          <w:lang w:val="en"/>
        </w:rPr>
        <w:t>Is there a limit to the number of projects an applicant can apply for?</w:t>
      </w:r>
    </w:p>
    <w:p w14:paraId="4D919990" w14:textId="77777777" w:rsidR="00D76816" w:rsidRPr="00C93902" w:rsidRDefault="00D76816" w:rsidP="54CB1C04">
      <w:pPr>
        <w:pStyle w:val="NormalWeb"/>
        <w:numPr>
          <w:ilvl w:val="0"/>
          <w:numId w:val="8"/>
        </w:numPr>
        <w:shd w:val="clear" w:color="auto" w:fill="FFFFFF" w:themeFill="background1"/>
        <w:rPr>
          <w:i/>
          <w:iCs/>
        </w:rPr>
      </w:pPr>
      <w:r w:rsidRPr="54CB1C04">
        <w:rPr>
          <w:i/>
          <w:iCs/>
        </w:rPr>
        <w:t xml:space="preserve">No, there is no </w:t>
      </w:r>
      <w:r w:rsidR="0033168B" w:rsidRPr="54CB1C04">
        <w:rPr>
          <w:i/>
          <w:iCs/>
          <w:lang w:val="en"/>
        </w:rPr>
        <w:t xml:space="preserve">statutory </w:t>
      </w:r>
      <w:r w:rsidRPr="54CB1C04">
        <w:rPr>
          <w:i/>
          <w:iCs/>
        </w:rPr>
        <w:t xml:space="preserve">limit to the number of projects an applicant can seek funding for.  </w:t>
      </w:r>
    </w:p>
    <w:p w14:paraId="5A7835AB" w14:textId="6E6B47E1" w:rsidR="54CB1C04" w:rsidRPr="006A031A" w:rsidRDefault="54CB1C04" w:rsidP="54CB1C04">
      <w:pPr>
        <w:pStyle w:val="NormalWeb"/>
        <w:numPr>
          <w:ilvl w:val="0"/>
          <w:numId w:val="8"/>
        </w:numPr>
        <w:shd w:val="clear" w:color="auto" w:fill="FFFFFF" w:themeFill="background1"/>
        <w:rPr>
          <w:rFonts w:asciiTheme="minorHAnsi" w:eastAsiaTheme="minorEastAsia" w:hAnsiTheme="minorHAnsi" w:cstheme="minorBidi"/>
          <w:i/>
          <w:iCs/>
        </w:rPr>
      </w:pPr>
      <w:r w:rsidRPr="006A031A">
        <w:rPr>
          <w:i/>
          <w:iCs/>
        </w:rPr>
        <w:t>Separate applications must be submitted for locations which have both a digital literacy and broadband access component.</w:t>
      </w:r>
    </w:p>
    <w:p w14:paraId="192C7E8F" w14:textId="77777777" w:rsidR="002E7B99" w:rsidRPr="008C6441" w:rsidRDefault="002E7B99" w:rsidP="00C643A8">
      <w:pPr>
        <w:pStyle w:val="NormalWeb"/>
        <w:numPr>
          <w:ilvl w:val="0"/>
          <w:numId w:val="1"/>
        </w:numPr>
        <w:shd w:val="clear" w:color="auto" w:fill="FFFFFF"/>
        <w:rPr>
          <w:color w:val="000000" w:themeColor="text1"/>
          <w:lang w:val="en"/>
        </w:rPr>
      </w:pPr>
      <w:r w:rsidRPr="008C6441">
        <w:rPr>
          <w:color w:val="000000" w:themeColor="text1"/>
          <w:lang w:val="en"/>
        </w:rPr>
        <w:t xml:space="preserve">Is there a time limit between </w:t>
      </w:r>
      <w:r w:rsidR="00293D60">
        <w:rPr>
          <w:color w:val="000000" w:themeColor="text1"/>
          <w:lang w:val="en"/>
        </w:rPr>
        <w:t xml:space="preserve">the </w:t>
      </w:r>
      <w:r w:rsidRPr="008C6441">
        <w:rPr>
          <w:color w:val="000000" w:themeColor="text1"/>
          <w:lang w:val="en"/>
        </w:rPr>
        <w:t>award</w:t>
      </w:r>
      <w:r w:rsidR="00293D60">
        <w:rPr>
          <w:color w:val="000000" w:themeColor="text1"/>
          <w:lang w:val="en"/>
        </w:rPr>
        <w:t>ing</w:t>
      </w:r>
      <w:r w:rsidRPr="008C6441">
        <w:rPr>
          <w:color w:val="000000" w:themeColor="text1"/>
          <w:lang w:val="en"/>
        </w:rPr>
        <w:t xml:space="preserve"> of funds and project completion</w:t>
      </w:r>
      <w:r w:rsidR="007C60E7" w:rsidRPr="008C6441">
        <w:rPr>
          <w:color w:val="000000" w:themeColor="text1"/>
          <w:lang w:val="en"/>
        </w:rPr>
        <w:t>?</w:t>
      </w:r>
    </w:p>
    <w:p w14:paraId="5B0001B9" w14:textId="7D5880C2" w:rsidR="00967C37" w:rsidRPr="00967C37" w:rsidRDefault="00D16165" w:rsidP="437F5E85">
      <w:pPr>
        <w:pStyle w:val="NormalWeb"/>
        <w:numPr>
          <w:ilvl w:val="0"/>
          <w:numId w:val="14"/>
        </w:numPr>
        <w:shd w:val="clear" w:color="auto" w:fill="FFFFFF" w:themeFill="background1"/>
        <w:rPr>
          <w:i/>
          <w:iCs/>
          <w:color w:val="000000" w:themeColor="text1"/>
        </w:rPr>
      </w:pPr>
      <w:r w:rsidRPr="437F5E85">
        <w:rPr>
          <w:i/>
          <w:iCs/>
          <w:color w:val="000000" w:themeColor="text1"/>
        </w:rPr>
        <w:t xml:space="preserve">Yes. </w:t>
      </w:r>
      <w:r w:rsidR="00967C37" w:rsidRPr="437F5E85">
        <w:rPr>
          <w:i/>
          <w:iCs/>
          <w:color w:val="000000" w:themeColor="text1"/>
        </w:rPr>
        <w:t xml:space="preserve">Grantees </w:t>
      </w:r>
      <w:r w:rsidR="008A1913" w:rsidRPr="437F5E85">
        <w:rPr>
          <w:i/>
          <w:iCs/>
          <w:color w:val="000000" w:themeColor="text1"/>
        </w:rPr>
        <w:t xml:space="preserve">must start the project within six months after submitting a consent form accepting the terms stated in the Broadband Adoption Account Award Letter or Resolution (after the ramp-up time if applicable) and complete the project within a 24-month timeframe or earlier.  </w:t>
      </w:r>
    </w:p>
    <w:p w14:paraId="2A4F04E1" w14:textId="10C36A2D" w:rsidR="008B1F52" w:rsidRDefault="008B1F52" w:rsidP="008B1F52">
      <w:pPr>
        <w:pStyle w:val="NormalWeb"/>
        <w:numPr>
          <w:ilvl w:val="0"/>
          <w:numId w:val="1"/>
        </w:numPr>
        <w:shd w:val="clear" w:color="auto" w:fill="FFFFFF"/>
        <w:rPr>
          <w:color w:val="000000" w:themeColor="text1"/>
          <w:lang w:val="en"/>
        </w:rPr>
      </w:pPr>
      <w:r>
        <w:rPr>
          <w:color w:val="000000" w:themeColor="text1"/>
          <w:lang w:val="en"/>
        </w:rPr>
        <w:t xml:space="preserve">What are the </w:t>
      </w:r>
      <w:r w:rsidR="004A490A">
        <w:rPr>
          <w:color w:val="000000" w:themeColor="text1"/>
          <w:lang w:val="en"/>
        </w:rPr>
        <w:t>r</w:t>
      </w:r>
      <w:r>
        <w:rPr>
          <w:color w:val="000000" w:themeColor="text1"/>
          <w:lang w:val="en"/>
        </w:rPr>
        <w:t>eporting requirements once funding for a project is granted</w:t>
      </w:r>
      <w:r w:rsidR="006518BA">
        <w:rPr>
          <w:color w:val="000000" w:themeColor="text1"/>
          <w:lang w:val="en"/>
        </w:rPr>
        <w:t xml:space="preserve"> and when can payment requests be made</w:t>
      </w:r>
      <w:r w:rsidRPr="008C6441">
        <w:rPr>
          <w:color w:val="000000" w:themeColor="text1"/>
          <w:lang w:val="en"/>
        </w:rPr>
        <w:t>?</w:t>
      </w:r>
    </w:p>
    <w:p w14:paraId="347AEA14" w14:textId="27F87253" w:rsidR="008B1F52" w:rsidRDefault="008A1913" w:rsidP="437F5E85">
      <w:pPr>
        <w:pStyle w:val="NormalWeb"/>
        <w:numPr>
          <w:ilvl w:val="1"/>
          <w:numId w:val="1"/>
        </w:numPr>
        <w:shd w:val="clear" w:color="auto" w:fill="FFFFFF" w:themeFill="background1"/>
        <w:rPr>
          <w:i/>
          <w:iCs/>
          <w:color w:val="000000" w:themeColor="text1"/>
        </w:rPr>
      </w:pPr>
      <w:r w:rsidRPr="437F5E85">
        <w:rPr>
          <w:i/>
          <w:iCs/>
          <w:color w:val="000000" w:themeColor="text1"/>
        </w:rPr>
        <w:t>The grantee must submit a ramp-up period report (if a ramp-up period was executed</w:t>
      </w:r>
      <w:r w:rsidR="00B33B8B">
        <w:rPr>
          <w:i/>
          <w:iCs/>
          <w:color w:val="000000" w:themeColor="text1"/>
        </w:rPr>
        <w:t>)</w:t>
      </w:r>
      <w:r w:rsidRPr="437F5E85">
        <w:rPr>
          <w:i/>
          <w:iCs/>
          <w:color w:val="000000" w:themeColor="text1"/>
        </w:rPr>
        <w:t>.</w:t>
      </w:r>
      <w:r w:rsidR="008B1F52" w:rsidRPr="437F5E85">
        <w:rPr>
          <w:i/>
          <w:iCs/>
          <w:color w:val="000000" w:themeColor="text1"/>
        </w:rPr>
        <w:t xml:space="preserve"> </w:t>
      </w:r>
      <w:r w:rsidRPr="437F5E85">
        <w:rPr>
          <w:i/>
          <w:iCs/>
          <w:color w:val="000000" w:themeColor="text1"/>
        </w:rPr>
        <w:t xml:space="preserve"> The grantee must submit a year 1 report</w:t>
      </w:r>
      <w:r w:rsidR="006518BA" w:rsidRPr="437F5E85">
        <w:rPr>
          <w:i/>
          <w:iCs/>
          <w:color w:val="000000" w:themeColor="text1"/>
        </w:rPr>
        <w:t xml:space="preserve"> </w:t>
      </w:r>
      <w:r w:rsidR="00B33B8B">
        <w:rPr>
          <w:i/>
          <w:iCs/>
          <w:color w:val="000000" w:themeColor="text1"/>
        </w:rPr>
        <w:t>(</w:t>
      </w:r>
      <w:r w:rsidRPr="437F5E85">
        <w:rPr>
          <w:i/>
          <w:iCs/>
          <w:color w:val="000000" w:themeColor="text1"/>
        </w:rPr>
        <w:t>if the project was not completed at the end of the year 1 period</w:t>
      </w:r>
      <w:r w:rsidR="00B33B8B">
        <w:rPr>
          <w:i/>
          <w:iCs/>
          <w:color w:val="000000" w:themeColor="text1"/>
        </w:rPr>
        <w:t>)</w:t>
      </w:r>
      <w:r w:rsidRPr="437F5E85">
        <w:rPr>
          <w:i/>
          <w:iCs/>
          <w:color w:val="000000" w:themeColor="text1"/>
        </w:rPr>
        <w:t>.  The grantee must submit</w:t>
      </w:r>
      <w:r w:rsidR="006518BA" w:rsidRPr="437F5E85">
        <w:rPr>
          <w:i/>
          <w:iCs/>
          <w:color w:val="000000" w:themeColor="text1"/>
        </w:rPr>
        <w:t xml:space="preserve"> a completion report.  </w:t>
      </w:r>
    </w:p>
    <w:p w14:paraId="79497617" w14:textId="7FA74362" w:rsidR="006518BA" w:rsidRDefault="006518BA" w:rsidP="008B1F52">
      <w:pPr>
        <w:pStyle w:val="NormalWeb"/>
        <w:numPr>
          <w:ilvl w:val="1"/>
          <w:numId w:val="1"/>
        </w:numPr>
        <w:shd w:val="clear" w:color="auto" w:fill="FFFFFF"/>
        <w:rPr>
          <w:i/>
          <w:color w:val="000000" w:themeColor="text1"/>
        </w:rPr>
      </w:pPr>
      <w:r>
        <w:rPr>
          <w:i/>
          <w:color w:val="000000" w:themeColor="text1"/>
        </w:rPr>
        <w:t xml:space="preserve">A maximum of three payment requests can be made.  A payment request must be submitted with the completion report.  A payment request for the ramp-up period (if applicable) or the year 1 period can be submitted with the period report or </w:t>
      </w:r>
      <w:r w:rsidR="004A490A">
        <w:rPr>
          <w:i/>
          <w:color w:val="000000" w:themeColor="text1"/>
        </w:rPr>
        <w:t>submitted separately.</w:t>
      </w:r>
    </w:p>
    <w:p w14:paraId="4ED10F92" w14:textId="2BFA140D" w:rsidR="004A490A" w:rsidRDefault="004A490A" w:rsidP="54CB1C04">
      <w:pPr>
        <w:pStyle w:val="NormalWeb"/>
        <w:numPr>
          <w:ilvl w:val="1"/>
          <w:numId w:val="1"/>
        </w:numPr>
        <w:shd w:val="clear" w:color="auto" w:fill="FFFFFF" w:themeFill="background1"/>
        <w:rPr>
          <w:rFonts w:asciiTheme="minorHAnsi" w:eastAsiaTheme="minorEastAsia" w:hAnsiTheme="minorHAnsi" w:cstheme="minorBidi"/>
          <w:i/>
          <w:iCs/>
          <w:color w:val="000000" w:themeColor="text1"/>
        </w:rPr>
      </w:pPr>
      <w:r w:rsidRPr="54CB1C04">
        <w:rPr>
          <w:i/>
          <w:iCs/>
          <w:color w:val="000000" w:themeColor="text1"/>
        </w:rPr>
        <w:t xml:space="preserve">A maximum of 25% of the grant can be requested  for ramp-up activities.  A maximum of 90% of the remaining grant funds can be paid out before the submission of the completion report and final payment request ).  </w:t>
      </w:r>
    </w:p>
    <w:p w14:paraId="58B2B753" w14:textId="716601DC" w:rsidR="004A490A" w:rsidRPr="008B1F52" w:rsidRDefault="004A490A" w:rsidP="54CB1C04">
      <w:pPr>
        <w:pStyle w:val="NormalWeb"/>
        <w:numPr>
          <w:ilvl w:val="1"/>
          <w:numId w:val="1"/>
        </w:numPr>
        <w:shd w:val="clear" w:color="auto" w:fill="FFFFFF" w:themeFill="background1"/>
        <w:rPr>
          <w:i/>
          <w:iCs/>
          <w:color w:val="000000" w:themeColor="text1"/>
        </w:rPr>
      </w:pPr>
      <w:r w:rsidRPr="54CB1C04">
        <w:rPr>
          <w:i/>
          <w:iCs/>
          <w:color w:val="000000" w:themeColor="text1"/>
        </w:rPr>
        <w:t xml:space="preserve">Please see the Broadband </w:t>
      </w:r>
      <w:hyperlink r:id="rId11" w:history="1">
        <w:r w:rsidRPr="00666A47">
          <w:rPr>
            <w:rStyle w:val="Hyperlink"/>
            <w:i/>
            <w:iCs/>
          </w:rPr>
          <w:t>Adoption Account Guidelines</w:t>
        </w:r>
      </w:hyperlink>
      <w:r w:rsidRPr="54CB1C04">
        <w:rPr>
          <w:i/>
          <w:iCs/>
          <w:color w:val="000000" w:themeColor="text1"/>
        </w:rPr>
        <w:t xml:space="preserve"> for further information.  </w:t>
      </w:r>
    </w:p>
    <w:p w14:paraId="6A72DFE6" w14:textId="77777777" w:rsidR="00F429B3" w:rsidRPr="00C643A8" w:rsidRDefault="00F429B3" w:rsidP="00F429B3">
      <w:pPr>
        <w:pStyle w:val="NormalWeb"/>
        <w:numPr>
          <w:ilvl w:val="0"/>
          <w:numId w:val="1"/>
        </w:numPr>
        <w:shd w:val="clear" w:color="auto" w:fill="FFFFFF"/>
        <w:rPr>
          <w:lang w:val="en"/>
        </w:rPr>
      </w:pPr>
      <w:r w:rsidRPr="00C643A8">
        <w:rPr>
          <w:lang w:val="en"/>
        </w:rPr>
        <w:t>How can I apply?</w:t>
      </w:r>
    </w:p>
    <w:p w14:paraId="53EDA81B" w14:textId="117C40CF" w:rsidR="00F429B3" w:rsidRPr="004A490A" w:rsidRDefault="004A490A" w:rsidP="54CB1C04">
      <w:pPr>
        <w:pStyle w:val="NormalWeb"/>
        <w:numPr>
          <w:ilvl w:val="1"/>
          <w:numId w:val="2"/>
        </w:numPr>
        <w:shd w:val="clear" w:color="auto" w:fill="FFFFFF" w:themeFill="background1"/>
        <w:rPr>
          <w:i/>
          <w:iCs/>
          <w:color w:val="000000" w:themeColor="text1"/>
        </w:rPr>
      </w:pPr>
      <w:r w:rsidRPr="54CB1C04">
        <w:rPr>
          <w:i/>
          <w:iCs/>
          <w:color w:val="000000" w:themeColor="text1"/>
        </w:rPr>
        <w:t xml:space="preserve">Please see the Broadband </w:t>
      </w:r>
      <w:hyperlink r:id="rId12">
        <w:r w:rsidRPr="54CB1C04">
          <w:rPr>
            <w:rStyle w:val="Hyperlink"/>
            <w:i/>
            <w:iCs/>
          </w:rPr>
          <w:t>Adoption Account Application Instructions.</w:t>
        </w:r>
      </w:hyperlink>
      <w:r w:rsidR="00F429B3" w:rsidRPr="54CB1C04">
        <w:rPr>
          <w:i/>
          <w:iCs/>
          <w:color w:val="000000" w:themeColor="text1"/>
        </w:rPr>
        <w:t xml:space="preserve"> </w:t>
      </w:r>
    </w:p>
    <w:p w14:paraId="5F56E45B" w14:textId="77777777" w:rsidR="00F429B3" w:rsidRPr="00C93902" w:rsidRDefault="00F429B3" w:rsidP="00F429B3">
      <w:pPr>
        <w:pStyle w:val="NormalWeb"/>
        <w:numPr>
          <w:ilvl w:val="0"/>
          <w:numId w:val="1"/>
        </w:numPr>
        <w:shd w:val="clear" w:color="auto" w:fill="FFFFFF"/>
        <w:rPr>
          <w:lang w:val="en"/>
        </w:rPr>
      </w:pPr>
      <w:r w:rsidRPr="00C93902">
        <w:rPr>
          <w:lang w:val="en"/>
        </w:rPr>
        <w:t>When are the application deadlines?</w:t>
      </w:r>
    </w:p>
    <w:p w14:paraId="23835B04" w14:textId="6D72F845" w:rsidR="00F429B3" w:rsidRPr="00C93902" w:rsidRDefault="000E2113" w:rsidP="00F429B3">
      <w:pPr>
        <w:pStyle w:val="NormalWeb"/>
        <w:numPr>
          <w:ilvl w:val="0"/>
          <w:numId w:val="3"/>
        </w:numPr>
        <w:shd w:val="clear" w:color="auto" w:fill="FFFFFF"/>
        <w:rPr>
          <w:rFonts w:eastAsiaTheme="minorHAnsi"/>
          <w:i/>
          <w:lang w:val="en"/>
        </w:rPr>
      </w:pPr>
      <w:r>
        <w:rPr>
          <w:rFonts w:eastAsiaTheme="minorHAnsi"/>
          <w:i/>
          <w:lang w:val="en"/>
        </w:rPr>
        <w:lastRenderedPageBreak/>
        <w:t xml:space="preserve">Please refer to the </w:t>
      </w:r>
      <w:hyperlink r:id="rId13" w:history="1">
        <w:r w:rsidRPr="009E6517">
          <w:rPr>
            <w:rStyle w:val="Hyperlink"/>
            <w:rFonts w:eastAsiaTheme="minorHAnsi"/>
            <w:i/>
            <w:lang w:val="en"/>
          </w:rPr>
          <w:t>website</w:t>
        </w:r>
      </w:hyperlink>
      <w:r>
        <w:rPr>
          <w:rFonts w:eastAsiaTheme="minorHAnsi"/>
          <w:i/>
          <w:lang w:val="en"/>
        </w:rPr>
        <w:t xml:space="preserve"> for the current schedule. </w:t>
      </w:r>
    </w:p>
    <w:p w14:paraId="4B468A62" w14:textId="3BD52645" w:rsidR="00360F6F" w:rsidRDefault="00360F6F" w:rsidP="005828A8">
      <w:pPr>
        <w:pStyle w:val="NormalWeb"/>
        <w:numPr>
          <w:ilvl w:val="0"/>
          <w:numId w:val="1"/>
        </w:numPr>
        <w:shd w:val="clear" w:color="auto" w:fill="FFFFFF"/>
        <w:rPr>
          <w:lang w:val="en"/>
        </w:rPr>
      </w:pPr>
      <w:r>
        <w:rPr>
          <w:lang w:val="en"/>
        </w:rPr>
        <w:t>How will applicants find out if their application has been approved or denied</w:t>
      </w:r>
      <w:r w:rsidR="00F31B99">
        <w:rPr>
          <w:lang w:val="en"/>
        </w:rPr>
        <w:t xml:space="preserve"> and what is the process for accepting the award</w:t>
      </w:r>
      <w:r>
        <w:rPr>
          <w:lang w:val="en"/>
        </w:rPr>
        <w:t>?</w:t>
      </w:r>
    </w:p>
    <w:p w14:paraId="28724AFE" w14:textId="77777777" w:rsidR="005E11C4" w:rsidRPr="005E11C4" w:rsidRDefault="54CB1C04" w:rsidP="54CB1C04">
      <w:pPr>
        <w:numPr>
          <w:ilvl w:val="0"/>
          <w:numId w:val="17"/>
        </w:numPr>
        <w:shd w:val="clear" w:color="auto" w:fill="FFFFFF" w:themeFill="background1"/>
        <w:spacing w:before="100" w:beforeAutospacing="1" w:after="100" w:afterAutospacing="1" w:line="240" w:lineRule="auto"/>
        <w:rPr>
          <w:rStyle w:val="Emphasis"/>
          <w:rFonts w:eastAsiaTheme="minorEastAsia"/>
          <w:sz w:val="24"/>
          <w:szCs w:val="24"/>
          <w:lang w:val="en"/>
        </w:rPr>
      </w:pPr>
      <w:r w:rsidRPr="54CB1C04">
        <w:rPr>
          <w:rFonts w:ascii="Times New Roman" w:eastAsia="Times New Roman" w:hAnsi="Times New Roman" w:cs="Times New Roman"/>
          <w:sz w:val="24"/>
          <w:szCs w:val="24"/>
          <w:lang w:val="en"/>
        </w:rPr>
        <w:t xml:space="preserve"> </w:t>
      </w:r>
      <w:r w:rsidRPr="005E11C4">
        <w:rPr>
          <w:rFonts w:ascii="Times New Roman" w:eastAsia="Times New Roman" w:hAnsi="Times New Roman" w:cs="Times New Roman"/>
          <w:i/>
          <w:iCs/>
          <w:sz w:val="24"/>
          <w:szCs w:val="24"/>
          <w:lang w:val="en"/>
        </w:rPr>
        <w:t>Staff will notify an applicant by letter specifying reasons for rejection should an application fail to meet the Commission criteria or other factors.</w:t>
      </w:r>
      <w:r w:rsidR="009E6517" w:rsidRPr="005E11C4">
        <w:rPr>
          <w:rStyle w:val="Emphasis"/>
          <w:rFonts w:ascii="Times New Roman" w:hAnsi="Times New Roman" w:cs="Times New Roman"/>
          <w:i w:val="0"/>
          <w:iCs w:val="0"/>
          <w:sz w:val="24"/>
          <w:szCs w:val="24"/>
          <w:lang w:val="en"/>
        </w:rPr>
        <w:t xml:space="preserve">  </w:t>
      </w:r>
    </w:p>
    <w:p w14:paraId="6C37AA04" w14:textId="36D6688B" w:rsidR="00360F6F" w:rsidRPr="00FB3D7D" w:rsidRDefault="009E6517" w:rsidP="54CB1C04">
      <w:pPr>
        <w:numPr>
          <w:ilvl w:val="0"/>
          <w:numId w:val="17"/>
        </w:numPr>
        <w:shd w:val="clear" w:color="auto" w:fill="FFFFFF" w:themeFill="background1"/>
        <w:spacing w:before="100" w:beforeAutospacing="1" w:after="100" w:afterAutospacing="1" w:line="240" w:lineRule="auto"/>
        <w:rPr>
          <w:rStyle w:val="Emphasis"/>
          <w:rFonts w:eastAsiaTheme="minorEastAsia"/>
          <w:sz w:val="24"/>
          <w:szCs w:val="24"/>
          <w:lang w:val="en"/>
        </w:rPr>
      </w:pPr>
      <w:r w:rsidRPr="005E11C4">
        <w:rPr>
          <w:rStyle w:val="Emphasis"/>
          <w:rFonts w:ascii="Times New Roman" w:hAnsi="Times New Roman" w:cs="Times New Roman"/>
          <w:sz w:val="24"/>
          <w:szCs w:val="24"/>
          <w:lang w:val="en"/>
        </w:rPr>
        <w:t>Applications approved by award letter or Resolution will be provided a consent form</w:t>
      </w:r>
      <w:r w:rsidR="005E11C4">
        <w:rPr>
          <w:rStyle w:val="Emphasis"/>
          <w:rFonts w:ascii="Times New Roman" w:hAnsi="Times New Roman" w:cs="Times New Roman"/>
          <w:sz w:val="24"/>
          <w:szCs w:val="24"/>
          <w:lang w:val="en"/>
        </w:rPr>
        <w:t xml:space="preserve">.  By signing the consent form the </w:t>
      </w:r>
      <w:r w:rsidR="00006D09">
        <w:rPr>
          <w:rStyle w:val="Emphasis"/>
          <w:rFonts w:ascii="Times New Roman" w:hAnsi="Times New Roman" w:cs="Times New Roman"/>
          <w:sz w:val="24"/>
          <w:szCs w:val="24"/>
          <w:lang w:val="en"/>
        </w:rPr>
        <w:t>grantee</w:t>
      </w:r>
      <w:r w:rsidRPr="005E11C4">
        <w:rPr>
          <w:rStyle w:val="Emphasis"/>
          <w:rFonts w:ascii="Times New Roman" w:hAnsi="Times New Roman" w:cs="Times New Roman"/>
          <w:sz w:val="24"/>
          <w:szCs w:val="24"/>
          <w:lang w:val="en"/>
        </w:rPr>
        <w:t xml:space="preserve"> agree</w:t>
      </w:r>
      <w:r w:rsidR="005E11C4">
        <w:rPr>
          <w:rStyle w:val="Emphasis"/>
          <w:rFonts w:ascii="Times New Roman" w:hAnsi="Times New Roman" w:cs="Times New Roman"/>
          <w:sz w:val="24"/>
          <w:szCs w:val="24"/>
          <w:lang w:val="en"/>
        </w:rPr>
        <w:t>s</w:t>
      </w:r>
      <w:r w:rsidRPr="005E11C4">
        <w:rPr>
          <w:rStyle w:val="Emphasis"/>
          <w:rFonts w:ascii="Times New Roman" w:hAnsi="Times New Roman" w:cs="Times New Roman"/>
          <w:sz w:val="24"/>
          <w:szCs w:val="24"/>
          <w:lang w:val="en"/>
        </w:rPr>
        <w:t xml:space="preserve"> to the terms stated in the approving Commission Resolution or award letter</w:t>
      </w:r>
      <w:r w:rsidR="005E11C4">
        <w:rPr>
          <w:rStyle w:val="Emphasis"/>
          <w:rFonts w:ascii="Times New Roman" w:hAnsi="Times New Roman" w:cs="Times New Roman"/>
          <w:sz w:val="24"/>
          <w:szCs w:val="24"/>
          <w:lang w:val="en"/>
        </w:rPr>
        <w:t xml:space="preserve"> and authorizes the award.</w:t>
      </w:r>
      <w:r w:rsidRPr="005E11C4">
        <w:rPr>
          <w:rStyle w:val="Emphasis"/>
          <w:rFonts w:ascii="Times New Roman" w:hAnsi="Times New Roman" w:cs="Times New Roman"/>
          <w:sz w:val="24"/>
          <w:szCs w:val="24"/>
          <w:lang w:val="en"/>
        </w:rPr>
        <w:t xml:space="preserve">  </w:t>
      </w:r>
      <w:r w:rsidR="00006D09">
        <w:rPr>
          <w:rStyle w:val="Emphasis"/>
          <w:rFonts w:ascii="Times New Roman" w:hAnsi="Times New Roman" w:cs="Times New Roman"/>
          <w:sz w:val="24"/>
          <w:szCs w:val="24"/>
          <w:lang w:val="en"/>
        </w:rPr>
        <w:t>In t</w:t>
      </w:r>
      <w:r w:rsidR="00F31B99" w:rsidRPr="54CB1C04">
        <w:rPr>
          <w:rStyle w:val="Emphasis"/>
          <w:rFonts w:ascii="Times New Roman" w:hAnsi="Times New Roman" w:cs="Times New Roman"/>
          <w:sz w:val="24"/>
          <w:szCs w:val="24"/>
          <w:lang w:val="en"/>
        </w:rPr>
        <w:t xml:space="preserve">he consent agreement </w:t>
      </w:r>
      <w:r w:rsidR="00006D09">
        <w:rPr>
          <w:rStyle w:val="Emphasis"/>
          <w:rFonts w:ascii="Times New Roman" w:hAnsi="Times New Roman" w:cs="Times New Roman"/>
          <w:sz w:val="24"/>
          <w:szCs w:val="24"/>
          <w:lang w:val="en"/>
        </w:rPr>
        <w:t xml:space="preserve">the grantee </w:t>
      </w:r>
      <w:r w:rsidR="00F31B99" w:rsidRPr="54CB1C04">
        <w:rPr>
          <w:rStyle w:val="Emphasis"/>
          <w:rFonts w:ascii="Times New Roman" w:hAnsi="Times New Roman" w:cs="Times New Roman"/>
          <w:sz w:val="24"/>
          <w:szCs w:val="24"/>
          <w:lang w:val="en"/>
        </w:rPr>
        <w:t>will provide the name of the grantee</w:t>
      </w:r>
      <w:r w:rsidR="00006D09">
        <w:rPr>
          <w:rStyle w:val="Emphasis"/>
          <w:rFonts w:ascii="Times New Roman" w:hAnsi="Times New Roman" w:cs="Times New Roman"/>
          <w:sz w:val="24"/>
          <w:szCs w:val="24"/>
          <w:lang w:val="en"/>
        </w:rPr>
        <w:t xml:space="preserve"> organization and </w:t>
      </w:r>
      <w:r w:rsidR="00F31B99" w:rsidRPr="54CB1C04">
        <w:rPr>
          <w:rStyle w:val="Emphasis"/>
          <w:rFonts w:ascii="Times New Roman" w:hAnsi="Times New Roman" w:cs="Times New Roman"/>
          <w:sz w:val="24"/>
          <w:szCs w:val="24"/>
          <w:lang w:val="en"/>
        </w:rPr>
        <w:t xml:space="preserve">names of officers, and </w:t>
      </w:r>
      <w:r w:rsidR="00006D09">
        <w:rPr>
          <w:rStyle w:val="Emphasis"/>
          <w:rFonts w:ascii="Times New Roman" w:hAnsi="Times New Roman" w:cs="Times New Roman"/>
          <w:sz w:val="24"/>
          <w:szCs w:val="24"/>
          <w:lang w:val="en"/>
        </w:rPr>
        <w:t>the form must be signed by an authorized representative of the organization</w:t>
      </w:r>
      <w:r w:rsidR="00F31B99" w:rsidRPr="54CB1C04">
        <w:rPr>
          <w:rStyle w:val="Emphasis"/>
          <w:rFonts w:ascii="Times New Roman" w:hAnsi="Times New Roman" w:cs="Times New Roman"/>
          <w:sz w:val="24"/>
          <w:szCs w:val="24"/>
          <w:lang w:val="en"/>
        </w:rPr>
        <w:t>.  Should the grantee not accept the award through failure to submit the consent form within 30 calendar days from the date of the award, the Commission will deem the grant null and void.</w:t>
      </w:r>
    </w:p>
    <w:sectPr w:rsidR="00360F6F" w:rsidRPr="00FB3D7D">
      <w:headerReference w:type="default"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6DB4C" w14:textId="77777777" w:rsidR="00ED634C" w:rsidRDefault="00ED634C">
      <w:pPr>
        <w:spacing w:after="0" w:line="240" w:lineRule="auto"/>
      </w:pPr>
      <w:r>
        <w:separator/>
      </w:r>
    </w:p>
  </w:endnote>
  <w:endnote w:type="continuationSeparator" w:id="0">
    <w:p w14:paraId="7270E930" w14:textId="77777777" w:rsidR="00ED634C" w:rsidRDefault="00ED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alatino">
    <w:altName w:val="Palatino Linotype"/>
    <w:charset w:val="00"/>
    <w:family w:val="auto"/>
    <w:pitch w:val="variable"/>
    <w:sig w:usb0="20000A87" w:usb1="08000000" w:usb2="00000008" w:usb3="00000000" w:csb0="00000105"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12583"/>
      <w:docPartObj>
        <w:docPartGallery w:val="Page Numbers (Bottom of Page)"/>
        <w:docPartUnique/>
      </w:docPartObj>
    </w:sdtPr>
    <w:sdtEndPr>
      <w:rPr>
        <w:noProof/>
      </w:rPr>
    </w:sdtEndPr>
    <w:sdtContent>
      <w:p w14:paraId="552383EE" w14:textId="693024BB" w:rsidR="00E03744" w:rsidRDefault="00E03744">
        <w:pPr>
          <w:pStyle w:val="Footer"/>
        </w:pPr>
        <w:r>
          <w:fldChar w:fldCharType="begin"/>
        </w:r>
        <w:r>
          <w:instrText xml:space="preserve"> PAGE   \* MERGEFORMAT </w:instrText>
        </w:r>
        <w:r>
          <w:fldChar w:fldCharType="separate"/>
        </w:r>
        <w:r>
          <w:rPr>
            <w:noProof/>
          </w:rPr>
          <w:t>2</w:t>
        </w:r>
        <w:r>
          <w:rPr>
            <w:noProof/>
          </w:rPr>
          <w:fldChar w:fldCharType="end"/>
        </w:r>
      </w:p>
    </w:sdtContent>
  </w:sdt>
  <w:p w14:paraId="2A287F1F" w14:textId="640EF83A" w:rsidR="00974380" w:rsidRPr="00E03744" w:rsidRDefault="00974380" w:rsidP="00E03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5B26" w14:textId="46D19B30" w:rsidR="00974380" w:rsidRPr="001D4FE9" w:rsidRDefault="005C49D4" w:rsidP="00974380">
    <w:pPr>
      <w:pStyle w:val="Footer"/>
      <w:tabs>
        <w:tab w:val="clear" w:pos="8640"/>
      </w:tabs>
      <w:jc w:val="left"/>
      <w:rPr>
        <w:sz w:val="16"/>
        <w:szCs w:val="16"/>
      </w:rPr>
    </w:pPr>
    <w:r>
      <w:rPr>
        <w:rFonts w:ascii="Tahoma" w:hAnsi="Tahoma" w:cs="Tahoma"/>
        <w:noProof/>
        <w:sz w:val="17"/>
        <w:szCs w:val="17"/>
      </w:rPr>
      <w:drawing>
        <wp:inline distT="0" distB="0" distL="0" distR="0" wp14:anchorId="02B83A71" wp14:editId="7E409487">
          <wp:extent cx="9144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Pr>
        <w:rFonts w:ascii="Tahoma" w:hAnsi="Tahoma" w:cs="Tahoma"/>
        <w:noProof/>
        <w:sz w:val="17"/>
        <w:szCs w:val="17"/>
      </w:rPr>
      <w:drawing>
        <wp:inline distT="0" distB="0" distL="0" distR="0" wp14:anchorId="70A6AAA3" wp14:editId="0E18270C">
          <wp:extent cx="9144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00974380">
      <w:rPr>
        <w:rFonts w:ascii="Tahoma" w:hAnsi="Tahoma" w:cs="Tahoma"/>
        <w:sz w:val="17"/>
        <w:szCs w:val="17"/>
      </w:rPr>
      <w:object w:dxaOrig="225" w:dyaOrig="225" w14:anchorId="44ED1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v:imagedata r:id="rId2" o:title=""/>
        </v:shape>
        <w:control r:id="rId3" w:name="DefaultOcxName2" w:shapeid="_x0000_i1030"/>
      </w:object>
    </w:r>
    <w:r>
      <w:rPr>
        <w:rFonts w:ascii="Tahoma" w:hAnsi="Tahoma" w:cs="Tahoma"/>
        <w:noProof/>
        <w:sz w:val="17"/>
        <w:szCs w:val="17"/>
      </w:rPr>
      <w:drawing>
        <wp:inline distT="0" distB="0" distL="0" distR="0" wp14:anchorId="56DCA6AB" wp14:editId="65D4A9F9">
          <wp:extent cx="9144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Pr>
        <w:rFonts w:ascii="Tahoma" w:hAnsi="Tahoma" w:cs="Tahoma"/>
        <w:noProof/>
        <w:sz w:val="17"/>
        <w:szCs w:val="17"/>
      </w:rPr>
      <w:drawing>
        <wp:inline distT="0" distB="0" distL="0" distR="0" wp14:anchorId="69F2CB2E" wp14:editId="17522D9E">
          <wp:extent cx="9144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00974380">
      <w:rPr>
        <w:rFonts w:ascii="Tahoma" w:hAnsi="Tahoma" w:cs="Tahoma"/>
        <w:sz w:val="17"/>
        <w:szCs w:val="17"/>
      </w:rPr>
      <w:object w:dxaOrig="225" w:dyaOrig="225" w14:anchorId="2269947B">
        <v:shape id="_x0000_i1033" type="#_x0000_t75" style="width:1in;height:18pt">
          <v:imagedata r:id="rId6" o:title=""/>
        </v:shape>
        <w:control r:id="rId7" w:name="DefaultOcxName11" w:shapeid="_x0000_i1033"/>
      </w:object>
    </w:r>
    <w:r w:rsidR="00974380">
      <w:rPr>
        <w:rFonts w:ascii="Tahoma" w:hAnsi="Tahoma" w:cs="Tahoma"/>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58A0A" w14:textId="77777777" w:rsidR="00ED634C" w:rsidRDefault="00ED634C">
      <w:pPr>
        <w:spacing w:after="0" w:line="240" w:lineRule="auto"/>
      </w:pPr>
      <w:r>
        <w:separator/>
      </w:r>
    </w:p>
  </w:footnote>
  <w:footnote w:type="continuationSeparator" w:id="0">
    <w:p w14:paraId="5078628F" w14:textId="77777777" w:rsidR="00ED634C" w:rsidRDefault="00ED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B253" w14:textId="77777777" w:rsidR="00974380" w:rsidRDefault="00974380">
    <w:pPr>
      <w:pStyle w:val="Header"/>
      <w:tabs>
        <w:tab w:val="clear" w:pos="8640"/>
        <w:tab w:val="right" w:pos="8550"/>
      </w:tabs>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1EE"/>
    <w:multiLevelType w:val="hybridMultilevel"/>
    <w:tmpl w:val="64381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9D2321"/>
    <w:multiLevelType w:val="hybridMultilevel"/>
    <w:tmpl w:val="64381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7A7FE9"/>
    <w:multiLevelType w:val="hybridMultilevel"/>
    <w:tmpl w:val="64381A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DB7574"/>
    <w:multiLevelType w:val="hybridMultilevel"/>
    <w:tmpl w:val="64381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1D3C3B"/>
    <w:multiLevelType w:val="hybridMultilevel"/>
    <w:tmpl w:val="9FD094AC"/>
    <w:lvl w:ilvl="0" w:tplc="CD024F84">
      <w:start w:val="1"/>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4153D"/>
    <w:multiLevelType w:val="hybridMultilevel"/>
    <w:tmpl w:val="64381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F777BF"/>
    <w:multiLevelType w:val="hybridMultilevel"/>
    <w:tmpl w:val="5D46D74A"/>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37BA0F0D"/>
    <w:multiLevelType w:val="hybridMultilevel"/>
    <w:tmpl w:val="64381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CD5A89"/>
    <w:multiLevelType w:val="hybridMultilevel"/>
    <w:tmpl w:val="64381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075395"/>
    <w:multiLevelType w:val="hybridMultilevel"/>
    <w:tmpl w:val="64381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9894A59"/>
    <w:multiLevelType w:val="hybridMultilevel"/>
    <w:tmpl w:val="64381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9E7D48"/>
    <w:multiLevelType w:val="hybridMultilevel"/>
    <w:tmpl w:val="64381A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760A39"/>
    <w:multiLevelType w:val="hybridMultilevel"/>
    <w:tmpl w:val="E142527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A4D8C"/>
    <w:multiLevelType w:val="hybridMultilevel"/>
    <w:tmpl w:val="0936BA72"/>
    <w:lvl w:ilvl="0" w:tplc="CD024F84">
      <w:start w:val="1"/>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7C0063"/>
    <w:multiLevelType w:val="hybridMultilevel"/>
    <w:tmpl w:val="64381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CA35BBA"/>
    <w:multiLevelType w:val="hybridMultilevel"/>
    <w:tmpl w:val="64381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F4E2A30"/>
    <w:multiLevelType w:val="hybridMultilevel"/>
    <w:tmpl w:val="64381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73055307">
    <w:abstractNumId w:val="4"/>
  </w:num>
  <w:num w:numId="2" w16cid:durableId="1068040566">
    <w:abstractNumId w:val="13"/>
  </w:num>
  <w:num w:numId="3" w16cid:durableId="2029527222">
    <w:abstractNumId w:val="9"/>
  </w:num>
  <w:num w:numId="4" w16cid:durableId="727533064">
    <w:abstractNumId w:val="7"/>
  </w:num>
  <w:num w:numId="5" w16cid:durableId="1456555844">
    <w:abstractNumId w:val="8"/>
  </w:num>
  <w:num w:numId="6" w16cid:durableId="133262326">
    <w:abstractNumId w:val="11"/>
  </w:num>
  <w:num w:numId="7" w16cid:durableId="278952238">
    <w:abstractNumId w:val="5"/>
  </w:num>
  <w:num w:numId="8" w16cid:durableId="339360361">
    <w:abstractNumId w:val="3"/>
  </w:num>
  <w:num w:numId="9" w16cid:durableId="666133791">
    <w:abstractNumId w:val="16"/>
  </w:num>
  <w:num w:numId="10" w16cid:durableId="17707646">
    <w:abstractNumId w:val="14"/>
  </w:num>
  <w:num w:numId="11" w16cid:durableId="1080374796">
    <w:abstractNumId w:val="0"/>
  </w:num>
  <w:num w:numId="12" w16cid:durableId="985596356">
    <w:abstractNumId w:val="1"/>
  </w:num>
  <w:num w:numId="13" w16cid:durableId="1426002035">
    <w:abstractNumId w:val="10"/>
  </w:num>
  <w:num w:numId="14" w16cid:durableId="1308586208">
    <w:abstractNumId w:val="15"/>
  </w:num>
  <w:num w:numId="15" w16cid:durableId="1166897109">
    <w:abstractNumId w:val="2"/>
  </w:num>
  <w:num w:numId="16" w16cid:durableId="1554658975">
    <w:abstractNumId w:val="12"/>
  </w:num>
  <w:num w:numId="17" w16cid:durableId="77235655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A7"/>
    <w:rsid w:val="00006D09"/>
    <w:rsid w:val="000106E4"/>
    <w:rsid w:val="00055543"/>
    <w:rsid w:val="000672D5"/>
    <w:rsid w:val="0007411A"/>
    <w:rsid w:val="00083332"/>
    <w:rsid w:val="000D0C1D"/>
    <w:rsid w:val="000E2113"/>
    <w:rsid w:val="000E25FB"/>
    <w:rsid w:val="00105D66"/>
    <w:rsid w:val="00125116"/>
    <w:rsid w:val="00165249"/>
    <w:rsid w:val="00173516"/>
    <w:rsid w:val="001B1CD5"/>
    <w:rsid w:val="001E2022"/>
    <w:rsid w:val="001E4BE6"/>
    <w:rsid w:val="00203382"/>
    <w:rsid w:val="00235CE3"/>
    <w:rsid w:val="00242A1D"/>
    <w:rsid w:val="00243086"/>
    <w:rsid w:val="002626A8"/>
    <w:rsid w:val="00293D60"/>
    <w:rsid w:val="002B5772"/>
    <w:rsid w:val="002B6703"/>
    <w:rsid w:val="002C04F2"/>
    <w:rsid w:val="002C1C77"/>
    <w:rsid w:val="002E7B99"/>
    <w:rsid w:val="00310389"/>
    <w:rsid w:val="0031058B"/>
    <w:rsid w:val="00313D83"/>
    <w:rsid w:val="0033168B"/>
    <w:rsid w:val="003373D0"/>
    <w:rsid w:val="00344ADC"/>
    <w:rsid w:val="00360F6F"/>
    <w:rsid w:val="003856F1"/>
    <w:rsid w:val="003C114B"/>
    <w:rsid w:val="003C2BC1"/>
    <w:rsid w:val="00420A5A"/>
    <w:rsid w:val="00444037"/>
    <w:rsid w:val="0044518A"/>
    <w:rsid w:val="004509C7"/>
    <w:rsid w:val="00476029"/>
    <w:rsid w:val="004836E1"/>
    <w:rsid w:val="00484F5C"/>
    <w:rsid w:val="004979B5"/>
    <w:rsid w:val="004A0DB2"/>
    <w:rsid w:val="004A490A"/>
    <w:rsid w:val="004A533D"/>
    <w:rsid w:val="004B3601"/>
    <w:rsid w:val="004E408F"/>
    <w:rsid w:val="005138FA"/>
    <w:rsid w:val="005263C0"/>
    <w:rsid w:val="00543BF9"/>
    <w:rsid w:val="005828A8"/>
    <w:rsid w:val="005945A2"/>
    <w:rsid w:val="005954A2"/>
    <w:rsid w:val="005A15DC"/>
    <w:rsid w:val="005A3514"/>
    <w:rsid w:val="005C3366"/>
    <w:rsid w:val="005C49D4"/>
    <w:rsid w:val="005D067E"/>
    <w:rsid w:val="005D19FA"/>
    <w:rsid w:val="005E11C4"/>
    <w:rsid w:val="005F76AF"/>
    <w:rsid w:val="00610DA9"/>
    <w:rsid w:val="006243A2"/>
    <w:rsid w:val="0063467A"/>
    <w:rsid w:val="006518BA"/>
    <w:rsid w:val="00657E1B"/>
    <w:rsid w:val="00660BA7"/>
    <w:rsid w:val="00666A47"/>
    <w:rsid w:val="0068553D"/>
    <w:rsid w:val="00693FDB"/>
    <w:rsid w:val="006A031A"/>
    <w:rsid w:val="006A0690"/>
    <w:rsid w:val="006A3A3C"/>
    <w:rsid w:val="006A4952"/>
    <w:rsid w:val="006D6337"/>
    <w:rsid w:val="0071028E"/>
    <w:rsid w:val="00713A14"/>
    <w:rsid w:val="00732748"/>
    <w:rsid w:val="007332E4"/>
    <w:rsid w:val="00741ED6"/>
    <w:rsid w:val="00750092"/>
    <w:rsid w:val="00752910"/>
    <w:rsid w:val="007667A2"/>
    <w:rsid w:val="00775218"/>
    <w:rsid w:val="007803F6"/>
    <w:rsid w:val="00782283"/>
    <w:rsid w:val="007C60E7"/>
    <w:rsid w:val="007D4F25"/>
    <w:rsid w:val="007E0998"/>
    <w:rsid w:val="007E4D8F"/>
    <w:rsid w:val="00806E1D"/>
    <w:rsid w:val="008276C5"/>
    <w:rsid w:val="008301D3"/>
    <w:rsid w:val="00834831"/>
    <w:rsid w:val="00844497"/>
    <w:rsid w:val="008543B6"/>
    <w:rsid w:val="0088021B"/>
    <w:rsid w:val="008A1913"/>
    <w:rsid w:val="008A6FF1"/>
    <w:rsid w:val="008B1F52"/>
    <w:rsid w:val="008C6441"/>
    <w:rsid w:val="008D1B1B"/>
    <w:rsid w:val="00924867"/>
    <w:rsid w:val="00925C23"/>
    <w:rsid w:val="0093267A"/>
    <w:rsid w:val="00967C37"/>
    <w:rsid w:val="00974380"/>
    <w:rsid w:val="009759C0"/>
    <w:rsid w:val="00983156"/>
    <w:rsid w:val="009E17A7"/>
    <w:rsid w:val="009E6517"/>
    <w:rsid w:val="00A07D8F"/>
    <w:rsid w:val="00A25F6D"/>
    <w:rsid w:val="00A34DEC"/>
    <w:rsid w:val="00A34FB6"/>
    <w:rsid w:val="00A37CC3"/>
    <w:rsid w:val="00A419E4"/>
    <w:rsid w:val="00A52B77"/>
    <w:rsid w:val="00A7638C"/>
    <w:rsid w:val="00A86170"/>
    <w:rsid w:val="00A87354"/>
    <w:rsid w:val="00AC2585"/>
    <w:rsid w:val="00AD2435"/>
    <w:rsid w:val="00AF7B28"/>
    <w:rsid w:val="00B0224B"/>
    <w:rsid w:val="00B170E4"/>
    <w:rsid w:val="00B33B8B"/>
    <w:rsid w:val="00B64828"/>
    <w:rsid w:val="00B70619"/>
    <w:rsid w:val="00B72BCB"/>
    <w:rsid w:val="00B86C5E"/>
    <w:rsid w:val="00BB1D5D"/>
    <w:rsid w:val="00BC1CD3"/>
    <w:rsid w:val="00BD2268"/>
    <w:rsid w:val="00BF7515"/>
    <w:rsid w:val="00C47B30"/>
    <w:rsid w:val="00C545F8"/>
    <w:rsid w:val="00C56DC3"/>
    <w:rsid w:val="00C643A8"/>
    <w:rsid w:val="00C85661"/>
    <w:rsid w:val="00C862F6"/>
    <w:rsid w:val="00C93902"/>
    <w:rsid w:val="00CB510E"/>
    <w:rsid w:val="00CD0BD8"/>
    <w:rsid w:val="00CD3EC3"/>
    <w:rsid w:val="00CE25AD"/>
    <w:rsid w:val="00CE322D"/>
    <w:rsid w:val="00CE7B1E"/>
    <w:rsid w:val="00CF05DB"/>
    <w:rsid w:val="00D16165"/>
    <w:rsid w:val="00D62D48"/>
    <w:rsid w:val="00D66F04"/>
    <w:rsid w:val="00D76816"/>
    <w:rsid w:val="00DA50BA"/>
    <w:rsid w:val="00DB1BF4"/>
    <w:rsid w:val="00DD2C3B"/>
    <w:rsid w:val="00DE5C17"/>
    <w:rsid w:val="00DF1934"/>
    <w:rsid w:val="00DF3819"/>
    <w:rsid w:val="00E0034C"/>
    <w:rsid w:val="00E03744"/>
    <w:rsid w:val="00E15154"/>
    <w:rsid w:val="00E23A56"/>
    <w:rsid w:val="00E61B2A"/>
    <w:rsid w:val="00E6502E"/>
    <w:rsid w:val="00E73396"/>
    <w:rsid w:val="00E9766E"/>
    <w:rsid w:val="00EA5AFC"/>
    <w:rsid w:val="00ED634C"/>
    <w:rsid w:val="00EE4C16"/>
    <w:rsid w:val="00EE6779"/>
    <w:rsid w:val="00F30191"/>
    <w:rsid w:val="00F31B99"/>
    <w:rsid w:val="00F429B3"/>
    <w:rsid w:val="00F50B86"/>
    <w:rsid w:val="00F5589B"/>
    <w:rsid w:val="00F71BA0"/>
    <w:rsid w:val="00F95BF0"/>
    <w:rsid w:val="00FB3D7D"/>
    <w:rsid w:val="00FF2DAC"/>
    <w:rsid w:val="00FF73BF"/>
    <w:rsid w:val="07797619"/>
    <w:rsid w:val="138A4344"/>
    <w:rsid w:val="14B8B2BB"/>
    <w:rsid w:val="166846A8"/>
    <w:rsid w:val="19018CEF"/>
    <w:rsid w:val="1C16BF04"/>
    <w:rsid w:val="1C392DB1"/>
    <w:rsid w:val="21091204"/>
    <w:rsid w:val="2790AC49"/>
    <w:rsid w:val="2AEA4328"/>
    <w:rsid w:val="30049C77"/>
    <w:rsid w:val="33992D95"/>
    <w:rsid w:val="345BA3E9"/>
    <w:rsid w:val="3720B8C2"/>
    <w:rsid w:val="3D0E2BC4"/>
    <w:rsid w:val="3E295592"/>
    <w:rsid w:val="437F5E85"/>
    <w:rsid w:val="482DBFAC"/>
    <w:rsid w:val="4A1A3677"/>
    <w:rsid w:val="4B92468F"/>
    <w:rsid w:val="4E0DCD42"/>
    <w:rsid w:val="4F6B601E"/>
    <w:rsid w:val="517F07A4"/>
    <w:rsid w:val="54CB1C04"/>
    <w:rsid w:val="5F8DBF90"/>
    <w:rsid w:val="60C97F68"/>
    <w:rsid w:val="65781265"/>
    <w:rsid w:val="672E6A14"/>
    <w:rsid w:val="68AC8BF9"/>
    <w:rsid w:val="68C86EE1"/>
    <w:rsid w:val="6A2DF46F"/>
    <w:rsid w:val="6FC53CAC"/>
    <w:rsid w:val="766BB8CE"/>
    <w:rsid w:val="76CC7FB7"/>
    <w:rsid w:val="7953F3AF"/>
    <w:rsid w:val="7C2A435F"/>
    <w:rsid w:val="7DBBBCE8"/>
    <w:rsid w:val="7F084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5"/>
    <o:shapelayout v:ext="edit">
      <o:idmap v:ext="edit" data="1"/>
    </o:shapelayout>
  </w:shapeDefaults>
  <w:decimalSymbol w:val="."/>
  <w:listSeparator w:val=","/>
  <w14:docId w14:val="4371B9BD"/>
  <w15:docId w15:val="{16481BFA-7F39-438B-97AC-5FC34726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7A7"/>
  </w:style>
  <w:style w:type="paragraph" w:styleId="Heading2">
    <w:name w:val="heading 2"/>
    <w:basedOn w:val="Normal"/>
    <w:link w:val="Heading2Char"/>
    <w:uiPriority w:val="9"/>
    <w:qFormat/>
    <w:rsid w:val="00F30191"/>
    <w:pPr>
      <w:spacing w:before="100" w:beforeAutospacing="1" w:after="100" w:afterAutospacing="1" w:line="240" w:lineRule="auto"/>
      <w:outlineLvl w:val="1"/>
    </w:pPr>
    <w:rPr>
      <w:rFonts w:ascii="inherit" w:eastAsia="Times New Roman" w:hAnsi="inherit" w:cs="Times New Roman"/>
      <w:color w:val="666666"/>
      <w:sz w:val="41"/>
      <w:szCs w:val="41"/>
    </w:rPr>
  </w:style>
  <w:style w:type="paragraph" w:styleId="Heading5">
    <w:name w:val="heading 5"/>
    <w:basedOn w:val="Normal"/>
    <w:next w:val="Normal"/>
    <w:link w:val="Heading5Char"/>
    <w:uiPriority w:val="9"/>
    <w:semiHidden/>
    <w:unhideWhenUsed/>
    <w:qFormat/>
    <w:rsid w:val="00C939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9390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7A7"/>
    <w:rPr>
      <w:strike w:val="0"/>
      <w:dstrike w:val="0"/>
      <w:color w:val="3366CC"/>
      <w:u w:val="none"/>
      <w:effect w:val="none"/>
      <w:shd w:val="clear" w:color="auto" w:fill="auto"/>
    </w:rPr>
  </w:style>
  <w:style w:type="paragraph" w:styleId="NormalWeb">
    <w:name w:val="Normal (Web)"/>
    <w:basedOn w:val="Normal"/>
    <w:uiPriority w:val="99"/>
    <w:unhideWhenUsed/>
    <w:rsid w:val="009E17A7"/>
    <w:pPr>
      <w:spacing w:after="158"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17A7"/>
    <w:rPr>
      <w:i/>
      <w:iCs/>
    </w:rPr>
  </w:style>
  <w:style w:type="paragraph" w:customStyle="1" w:styleId="standard">
    <w:name w:val="standard"/>
    <w:basedOn w:val="Normal"/>
    <w:link w:val="standardChar"/>
    <w:rsid w:val="009E17A7"/>
    <w:pPr>
      <w:spacing w:after="0"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17A7"/>
    <w:rPr>
      <w:rFonts w:ascii="Palatino" w:eastAsia="Times New Roman" w:hAnsi="Palatino" w:cs="Times New Roman"/>
      <w:sz w:val="26"/>
      <w:szCs w:val="20"/>
    </w:rPr>
  </w:style>
  <w:style w:type="character" w:styleId="CommentReference">
    <w:name w:val="annotation reference"/>
    <w:uiPriority w:val="99"/>
    <w:unhideWhenUsed/>
    <w:rsid w:val="009E17A7"/>
    <w:rPr>
      <w:sz w:val="16"/>
      <w:szCs w:val="16"/>
    </w:rPr>
  </w:style>
  <w:style w:type="paragraph" w:styleId="CommentText">
    <w:name w:val="annotation text"/>
    <w:basedOn w:val="Normal"/>
    <w:link w:val="CommentTextChar"/>
    <w:uiPriority w:val="99"/>
    <w:unhideWhenUsed/>
    <w:rsid w:val="009E17A7"/>
    <w:pPr>
      <w:spacing w:after="0" w:line="240" w:lineRule="auto"/>
    </w:pPr>
    <w:rPr>
      <w:rFonts w:ascii="Palatino" w:eastAsia="Times New Roman" w:hAnsi="Palatino" w:cs="Times New Roman"/>
      <w:sz w:val="20"/>
      <w:szCs w:val="20"/>
    </w:rPr>
  </w:style>
  <w:style w:type="character" w:customStyle="1" w:styleId="CommentTextChar">
    <w:name w:val="Comment Text Char"/>
    <w:basedOn w:val="DefaultParagraphFont"/>
    <w:link w:val="CommentText"/>
    <w:uiPriority w:val="99"/>
    <w:rsid w:val="009E17A7"/>
    <w:rPr>
      <w:rFonts w:ascii="Palatino" w:eastAsia="Times New Roman" w:hAnsi="Palatino" w:cs="Times New Roman"/>
      <w:sz w:val="20"/>
      <w:szCs w:val="20"/>
    </w:rPr>
  </w:style>
  <w:style w:type="paragraph" w:styleId="Header">
    <w:name w:val="header"/>
    <w:basedOn w:val="Normal"/>
    <w:link w:val="HeaderChar"/>
    <w:rsid w:val="009E17A7"/>
    <w:pPr>
      <w:widowControl w:val="0"/>
      <w:tabs>
        <w:tab w:val="center" w:pos="4320"/>
        <w:tab w:val="right" w:pos="8640"/>
      </w:tabs>
      <w:spacing w:after="0" w:line="240" w:lineRule="auto"/>
    </w:pPr>
    <w:rPr>
      <w:rFonts w:ascii="Palatino" w:eastAsia="Times New Roman" w:hAnsi="Palatino" w:cs="Times New Roman"/>
      <w:sz w:val="26"/>
      <w:szCs w:val="20"/>
    </w:rPr>
  </w:style>
  <w:style w:type="character" w:customStyle="1" w:styleId="HeaderChar">
    <w:name w:val="Header Char"/>
    <w:basedOn w:val="DefaultParagraphFont"/>
    <w:link w:val="Header"/>
    <w:rsid w:val="009E17A7"/>
    <w:rPr>
      <w:rFonts w:ascii="Palatino" w:eastAsia="Times New Roman" w:hAnsi="Palatino" w:cs="Times New Roman"/>
      <w:sz w:val="26"/>
      <w:szCs w:val="20"/>
    </w:rPr>
  </w:style>
  <w:style w:type="paragraph" w:styleId="Footer">
    <w:name w:val="footer"/>
    <w:basedOn w:val="Normal"/>
    <w:link w:val="FooterChar"/>
    <w:uiPriority w:val="99"/>
    <w:rsid w:val="009E17A7"/>
    <w:pPr>
      <w:tabs>
        <w:tab w:val="center" w:pos="4320"/>
        <w:tab w:val="right" w:pos="8640"/>
      </w:tabs>
      <w:spacing w:after="0" w:line="240" w:lineRule="auto"/>
      <w:jc w:val="center"/>
    </w:pPr>
    <w:rPr>
      <w:rFonts w:ascii="Palatino" w:eastAsia="Times New Roman" w:hAnsi="Palatino" w:cs="Times New Roman"/>
      <w:sz w:val="26"/>
      <w:szCs w:val="20"/>
    </w:rPr>
  </w:style>
  <w:style w:type="character" w:customStyle="1" w:styleId="FooterChar">
    <w:name w:val="Footer Char"/>
    <w:basedOn w:val="DefaultParagraphFont"/>
    <w:link w:val="Footer"/>
    <w:uiPriority w:val="99"/>
    <w:rsid w:val="009E17A7"/>
    <w:rPr>
      <w:rFonts w:ascii="Palatino" w:eastAsia="Times New Roman" w:hAnsi="Palatino" w:cs="Times New Roman"/>
      <w:sz w:val="26"/>
      <w:szCs w:val="20"/>
    </w:rPr>
  </w:style>
  <w:style w:type="paragraph" w:customStyle="1" w:styleId="sub1">
    <w:name w:val="sub1"/>
    <w:basedOn w:val="Normal"/>
    <w:rsid w:val="009E17A7"/>
    <w:pPr>
      <w:spacing w:after="0" w:line="360" w:lineRule="auto"/>
      <w:ind w:firstLine="1440"/>
    </w:pPr>
    <w:rPr>
      <w:rFonts w:ascii="Palatino" w:eastAsia="Times New Roman" w:hAnsi="Palatino" w:cs="Times New Roman"/>
      <w:sz w:val="26"/>
      <w:szCs w:val="20"/>
    </w:rPr>
  </w:style>
  <w:style w:type="paragraph" w:styleId="ListParagraph">
    <w:name w:val="List Paragraph"/>
    <w:basedOn w:val="Normal"/>
    <w:uiPriority w:val="34"/>
    <w:qFormat/>
    <w:rsid w:val="009E17A7"/>
    <w:pPr>
      <w:spacing w:after="0" w:line="240" w:lineRule="auto"/>
      <w:ind w:left="720"/>
      <w:contextualSpacing/>
    </w:pPr>
    <w:rPr>
      <w:rFonts w:ascii="Palatino" w:eastAsia="Times New Roman" w:hAnsi="Palatino" w:cs="Times New Roman"/>
      <w:sz w:val="26"/>
      <w:szCs w:val="20"/>
    </w:rPr>
  </w:style>
  <w:style w:type="paragraph" w:styleId="BalloonText">
    <w:name w:val="Balloon Text"/>
    <w:basedOn w:val="Normal"/>
    <w:link w:val="BalloonTextChar"/>
    <w:uiPriority w:val="99"/>
    <w:semiHidden/>
    <w:unhideWhenUsed/>
    <w:rsid w:val="009E1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7A7"/>
    <w:rPr>
      <w:rFonts w:ascii="Tahoma" w:hAnsi="Tahoma" w:cs="Tahoma"/>
      <w:sz w:val="16"/>
      <w:szCs w:val="16"/>
    </w:rPr>
  </w:style>
  <w:style w:type="character" w:customStyle="1" w:styleId="Heading2Char">
    <w:name w:val="Heading 2 Char"/>
    <w:basedOn w:val="DefaultParagraphFont"/>
    <w:link w:val="Heading2"/>
    <w:uiPriority w:val="9"/>
    <w:rsid w:val="00F30191"/>
    <w:rPr>
      <w:rFonts w:ascii="inherit" w:eastAsia="Times New Roman" w:hAnsi="inherit" w:cs="Times New Roman"/>
      <w:color w:val="666666"/>
      <w:sz w:val="41"/>
      <w:szCs w:val="41"/>
    </w:rPr>
  </w:style>
  <w:style w:type="paragraph" w:styleId="CommentSubject">
    <w:name w:val="annotation subject"/>
    <w:basedOn w:val="CommentText"/>
    <w:next w:val="CommentText"/>
    <w:link w:val="CommentSubjectChar"/>
    <w:uiPriority w:val="99"/>
    <w:semiHidden/>
    <w:unhideWhenUsed/>
    <w:rsid w:val="00DA50B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A50BA"/>
    <w:rPr>
      <w:rFonts w:ascii="Palatino" w:eastAsia="Times New Roman" w:hAnsi="Palatino" w:cs="Times New Roman"/>
      <w:b/>
      <w:bCs/>
      <w:sz w:val="20"/>
      <w:szCs w:val="20"/>
    </w:rPr>
  </w:style>
  <w:style w:type="character" w:customStyle="1" w:styleId="Heading5Char">
    <w:name w:val="Heading 5 Char"/>
    <w:basedOn w:val="DefaultParagraphFont"/>
    <w:link w:val="Heading5"/>
    <w:uiPriority w:val="9"/>
    <w:semiHidden/>
    <w:rsid w:val="00C9390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93902"/>
    <w:rPr>
      <w:rFonts w:asciiTheme="majorHAnsi" w:eastAsiaTheme="majorEastAsia" w:hAnsiTheme="majorHAnsi" w:cstheme="majorBidi"/>
      <w:i/>
      <w:iCs/>
      <w:color w:val="243F60" w:themeColor="accent1" w:themeShade="7F"/>
    </w:rPr>
  </w:style>
  <w:style w:type="paragraph" w:customStyle="1" w:styleId="sub4">
    <w:name w:val="sub4"/>
    <w:basedOn w:val="Normal"/>
    <w:rsid w:val="00C93902"/>
    <w:pPr>
      <w:spacing w:after="0" w:line="360" w:lineRule="auto"/>
      <w:ind w:firstLine="720"/>
    </w:pPr>
    <w:rPr>
      <w:rFonts w:ascii="Palatino" w:eastAsia="Times New Roman" w:hAnsi="Palatino" w:cs="Times New Roman"/>
      <w:sz w:val="26"/>
      <w:szCs w:val="20"/>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f,ALTS FOOTNOTE"/>
    <w:basedOn w:val="Normal"/>
    <w:link w:val="FootnoteTextChar"/>
    <w:uiPriority w:val="99"/>
    <w:rsid w:val="00C93902"/>
    <w:pPr>
      <w:spacing w:after="120" w:line="240" w:lineRule="auto"/>
    </w:pPr>
    <w:rPr>
      <w:rFonts w:ascii="Palatino" w:eastAsia="Times New Roman" w:hAnsi="Palatino" w:cs="Times New Roman"/>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C93902"/>
    <w:rPr>
      <w:rFonts w:ascii="Palatino" w:eastAsia="Times New Roman" w:hAnsi="Palatino" w:cs="Times New Roman"/>
      <w:szCs w:val="20"/>
    </w:rPr>
  </w:style>
  <w:style w:type="character" w:styleId="FootnoteReference">
    <w:name w:val="footnote reference"/>
    <w:aliases w:val="o,fr,Style 3,o1,o2,o3,o4,o5,o6,o11,o21,o7,Appel note de bas de p,Style 12,(NECG) Footnote Reference,Style 124,Style 13,FR,Style 17,Style 6,Footnote Reference/,Style 7,Style 4,Style 34,Style 9,Footnote Reference1"/>
    <w:uiPriority w:val="99"/>
    <w:rsid w:val="00C93902"/>
    <w:rPr>
      <w:sz w:val="24"/>
      <w:vertAlign w:val="superscript"/>
    </w:rPr>
  </w:style>
  <w:style w:type="paragraph" w:styleId="Revision">
    <w:name w:val="Revision"/>
    <w:hidden/>
    <w:uiPriority w:val="99"/>
    <w:semiHidden/>
    <w:rsid w:val="00360F6F"/>
    <w:pPr>
      <w:spacing w:after="0" w:line="240" w:lineRule="auto"/>
    </w:pPr>
  </w:style>
  <w:style w:type="character" w:styleId="UnresolvedMention">
    <w:name w:val="Unresolved Mention"/>
    <w:basedOn w:val="DefaultParagraphFont"/>
    <w:uiPriority w:val="99"/>
    <w:semiHidden/>
    <w:unhideWhenUsed/>
    <w:rsid w:val="00543BF9"/>
    <w:rPr>
      <w:color w:val="605E5C"/>
      <w:shd w:val="clear" w:color="auto" w:fill="E1DFDD"/>
    </w:rPr>
  </w:style>
  <w:style w:type="character" w:styleId="FollowedHyperlink">
    <w:name w:val="FollowedHyperlink"/>
    <w:basedOn w:val="DefaultParagraphFont"/>
    <w:uiPriority w:val="99"/>
    <w:semiHidden/>
    <w:unhideWhenUsed/>
    <w:rsid w:val="00666A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4366">
      <w:bodyDiv w:val="1"/>
      <w:marLeft w:val="0"/>
      <w:marRight w:val="0"/>
      <w:marTop w:val="0"/>
      <w:marBottom w:val="0"/>
      <w:divBdr>
        <w:top w:val="none" w:sz="0" w:space="0" w:color="auto"/>
        <w:left w:val="none" w:sz="0" w:space="0" w:color="auto"/>
        <w:bottom w:val="none" w:sz="0" w:space="0" w:color="auto"/>
        <w:right w:val="none" w:sz="0" w:space="0" w:color="auto"/>
      </w:divBdr>
      <w:divsChild>
        <w:div w:id="603851880">
          <w:marLeft w:val="0"/>
          <w:marRight w:val="0"/>
          <w:marTop w:val="0"/>
          <w:marBottom w:val="0"/>
          <w:divBdr>
            <w:top w:val="none" w:sz="0" w:space="0" w:color="auto"/>
            <w:left w:val="single" w:sz="48" w:space="0" w:color="07537B"/>
            <w:bottom w:val="none" w:sz="0" w:space="0" w:color="auto"/>
            <w:right w:val="single" w:sz="48" w:space="0" w:color="07537B"/>
          </w:divBdr>
          <w:divsChild>
            <w:div w:id="1659535190">
              <w:marLeft w:val="-225"/>
              <w:marRight w:val="-225"/>
              <w:marTop w:val="0"/>
              <w:marBottom w:val="0"/>
              <w:divBdr>
                <w:top w:val="none" w:sz="0" w:space="0" w:color="auto"/>
                <w:left w:val="none" w:sz="0" w:space="0" w:color="auto"/>
                <w:bottom w:val="none" w:sz="0" w:space="0" w:color="auto"/>
                <w:right w:val="none" w:sz="0" w:space="0" w:color="auto"/>
              </w:divBdr>
              <w:divsChild>
                <w:div w:id="6289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uc.ca.gov/industries-and-topics/internet-and-phone/california-advanced-services-fund/casf-adoption-accou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puc.ca.gov/-/media/cpuc-website/divisions/communications-division/documents/casf-adoption-and-access/adoption_account/information/broadband-adoption-account-application-instruction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c.ca.gov/-/media/cpuc-website/divisions/communications-division/documents/casf-adoption-and-access/adoption_account/information/adoption-account-guidelines-may-202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control" Target="activeX/activeX1.xml"/><Relationship Id="rId7" Type="http://schemas.openxmlformats.org/officeDocument/2006/relationships/control" Target="activeX/activeX2.xml"/><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5.wmf"/><Relationship Id="rId5" Type="http://schemas.openxmlformats.org/officeDocument/2006/relationships/image" Target="media/image4.wmf"/><Relationship Id="rId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02EFE806E8844CA82F152E15806D4C" ma:contentTypeVersion="4" ma:contentTypeDescription="Create a new document." ma:contentTypeScope="" ma:versionID="3eeac93f8a8a088e5d0d609fa7fbf541">
  <xsd:schema xmlns:xsd="http://www.w3.org/2001/XMLSchema" xmlns:xs="http://www.w3.org/2001/XMLSchema" xmlns:p="http://schemas.microsoft.com/office/2006/metadata/properties" xmlns:ns2="800e16e8-2109-40d9-9dc6-5aa32e4de434" xmlns:ns3="0c4a6f31-d38c-4f21-8422-a05a02115431" targetNamespace="http://schemas.microsoft.com/office/2006/metadata/properties" ma:root="true" ma:fieldsID="faca7db1f84f62630f615cf320bc04fd" ns2:_="" ns3:_="">
    <xsd:import namespace="800e16e8-2109-40d9-9dc6-5aa32e4de434"/>
    <xsd:import namespace="0c4a6f31-d38c-4f21-8422-a05a021154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e16e8-2109-40d9-9dc6-5aa32e4de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4a6f31-d38c-4f21-8422-a05a021154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2759B-EBCD-4D2F-92E8-BBBD082CD5D8}">
  <ds:schemaRefs>
    <ds:schemaRef ds:uri="http://purl.org/dc/terms/"/>
    <ds:schemaRef ds:uri="http://www.w3.org/XML/1998/namespace"/>
    <ds:schemaRef ds:uri="http://purl.org/dc/elements/1.1/"/>
    <ds:schemaRef ds:uri="800e16e8-2109-40d9-9dc6-5aa32e4de434"/>
    <ds:schemaRef ds:uri="http://schemas.microsoft.com/office/2006/documentManagement/types"/>
    <ds:schemaRef ds:uri="http://purl.org/dc/dcmitype/"/>
    <ds:schemaRef ds:uri="http://schemas.microsoft.com/office/infopath/2007/PartnerControls"/>
    <ds:schemaRef ds:uri="0c4a6f31-d38c-4f21-8422-a05a0211543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42F9487-F166-4A3A-A72A-3C8E16E1D02E}">
  <ds:schemaRefs>
    <ds:schemaRef ds:uri="http://schemas.openxmlformats.org/officeDocument/2006/bibliography"/>
  </ds:schemaRefs>
</ds:datastoreItem>
</file>

<file path=customXml/itemProps3.xml><?xml version="1.0" encoding="utf-8"?>
<ds:datastoreItem xmlns:ds="http://schemas.openxmlformats.org/officeDocument/2006/customXml" ds:itemID="{C39167F4-356B-49D6-BCAA-739D7AE7F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e16e8-2109-40d9-9dc6-5aa32e4de434"/>
    <ds:schemaRef ds:uri="0c4a6f31-d38c-4f21-8422-a05a02115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FF8CB-7577-4391-BCB1-86ACDC9520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Ava N.</dc:creator>
  <cp:lastModifiedBy>Goedecke, William</cp:lastModifiedBy>
  <cp:revision>17</cp:revision>
  <dcterms:created xsi:type="dcterms:W3CDTF">2022-04-22T23:12:00Z</dcterms:created>
  <dcterms:modified xsi:type="dcterms:W3CDTF">2022-05-31T16:16:00Z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oFAAoY+b3dyoaiTsZ1tqpYOkuK2HLDsd/UBREbHPGWLJDBT7MKxsZEErE4gpjS2dDmTqWL51Ac1JBE/J
7xUQt0w+w4w0ctFd+jBeYJwm3Zwz41fQkjY9WS4fBYVO1AH3DuErMrWUCCTmnQi7NXtWRt5fofVP
WDLKBVaDWjVt9dexq+R43M12BFyosxJjuR3EsQXmMRzAlOPcz8QVPQGAlc8HJ/7XpIqSHWVxlgDw
xtZCabKV9GB3kJPUj</vt:lpwstr>
  </property>
  <property fmtid="{D5CDD505-2E9C-101B-9397-08002B2CF9AE}" pid="3" name="MAIL_MSG_ID2">
    <vt:lpwstr>mZs7TuJZ92Q/6CWlEAUKuMjFl/9aFfLSgwrqPxjwhuHMPWEDZCVcP3DmOEK
m1sG1il0kdr7o0P2ppgyKjto9R0V4068Of71IwsLLfChOAog</vt:lpwstr>
  </property>
  <property fmtid="{D5CDD505-2E9C-101B-9397-08002B2CF9AE}" pid="4" name="RESPONSE_SENDER_NAME">
    <vt:lpwstr>sAAAb0xRtPDW5Uvyt9kqqQy1v4VvLLItE6/eL298EHy1fLI=</vt:lpwstr>
  </property>
  <property fmtid="{D5CDD505-2E9C-101B-9397-08002B2CF9AE}" pid="5" name="EMAIL_OWNER_ADDRESS">
    <vt:lpwstr>ABAAv4tRYjpfjUstag4/l/ZXmJIEKfs4l21u/+tUXJYz5ZDdtbqu7ZQMtm3eWe1kj1TM</vt:lpwstr>
  </property>
  <property fmtid="{D5CDD505-2E9C-101B-9397-08002B2CF9AE}" pid="6" name="ContentTypeId">
    <vt:lpwstr>0x010100A702EFE806E8844CA82F152E15806D4C</vt:lpwstr>
  </property>
</Properties>
</file>